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 and Virtual Asset Risk Policy</w:t>
      </w:r>
    </w:p>
    <w:p>
      <w:r>
        <w:rPr>
          <w:i/>
        </w:rPr>
        <w:t>Privacy chains, mixing services, counterparty attribution and exposure limits</w:t>
      </w:r>
    </w:p>
    <w:p>
      <w:r>
        <w:rPr>
          <w:sz w:val="18"/>
        </w:rPr>
        <w:t>Reference VAS-POL-007 | Version 4.1 | Owner: Digital Assets Financial Crime</w:t>
      </w:r>
    </w:p>
    <w:p>
      <w:pPr>
        <w:pStyle w:val="Heading1"/>
      </w:pPr>
      <w:r>
        <w:t>1. Purpose and scope</w:t>
      </w:r>
    </w:p>
    <w:p>
      <w:r>
        <w:t>This policy governs the monitoring of customer virtual-asset activity, including transfers on public blockchains, transfers to and from virtual-asset service providers and any activity settled in a stablecoin. It applies to the on-chain leg of a transfer as well as to the fiat leg.</w:t>
      </w:r>
    </w:p>
    <w:p>
      <w:r>
        <w:t>Virtual-asset activity is not treated as inherently suspicious. It is treated as activity whose counterparty is unknown until proved otherwise, which reverses the default assumption that applies to correspondent banking.</w:t>
      </w:r>
    </w:p>
    <w:p>
      <w:pPr>
        <w:pStyle w:val="Heading1"/>
      </w:pPr>
      <w:r>
        <w:t>2. Counterparty attribution</w:t>
      </w:r>
    </w:p>
    <w:p>
      <w:r>
        <w:t>Attribution is the single most informative attribute of a virtual-asset transfer. A transfer of any size to a named, regulated exchange is ordinary banking; the same transfer to an address that cannot be attributed to any known service is an unresolved counterparty and is scored as such.</w:t>
      </w:r>
    </w:p>
    <w:p>
      <w:pPr>
        <w:pStyle w:val="Heading2"/>
      </w:pPr>
      <w:r>
        <w:t>2.1 The attribution requirement</w:t>
      </w:r>
    </w:p>
    <w:p>
      <w:r>
        <w:t>Every virtual-asset transfer must carry an attributed counterparty: a named, regulated virtual-asset service provider, a known merchant processor, or a wallet the customer has demonstrably self-declared. A transfer whose counterparty exchange cannot be attributed is an unattributed transfer.</w:t>
      </w:r>
    </w:p>
    <w:p>
      <w:r>
        <w:t>An empty exchange attribution is a substantive finding, not a data-quality issue. It means the destination is either a self-hosted wallet, a service outside the analytics provider's coverage, or a service that deliberately resists attribution. All three materially raise the risk of the transfer.</w:t>
      </w:r>
    </w:p>
    <w:p>
      <w:pPr>
        <w:pStyle w:val="Heading2"/>
      </w:pPr>
      <w:r>
        <w:t>2.2 Escalation on unattributed transfers</w:t>
      </w:r>
    </w:p>
    <w:p>
      <w:pPr>
        <w:pStyle w:val="ListBullet"/>
      </w:pPr>
      <w:r>
        <w:t>A single unattributed transfer to a self-hosted wallet is documented but not escalated on its own.</w:t>
      </w:r>
    </w:p>
    <w:p>
      <w:pPr>
        <w:pStyle w:val="ListBullet"/>
      </w:pPr>
      <w:r>
        <w:t>Repeated unattributed transfers to the same destination address are escalated.</w:t>
      </w:r>
    </w:p>
    <w:p>
      <w:pPr>
        <w:pStyle w:val="ListBullet"/>
      </w:pPr>
      <w:r>
        <w:t>An unattributed transfer that is also a privacy-chain or mixer transfer is escalated immediately, without an amount floor.</w:t>
      </w:r>
    </w:p>
    <w:p>
      <w:pPr>
        <w:pStyle w:val="ListBullet"/>
      </w:pPr>
      <w:r>
        <w:t>Unattributed inbound value that is forwarded onward within 24 hours is treated as pass-through and escalated.</w:t>
      </w:r>
    </w:p>
    <w:p>
      <w:pPr>
        <w:pStyle w:val="Heading1"/>
      </w:pPr>
      <w:r>
        <w:t>3. Privacy chains and anonymity-enhancing technology</w:t>
      </w:r>
    </w:p>
    <w:p>
      <w:r>
        <w:t>Anonymity-enhancing technology comes in two forms that this policy treats differently: chains whose protocol conceals the transfer, covered in section 3.1, and services layered on a transparent chain that deliberately break the link between source and destination, covered in section 3.2. The first is a risk finding; the second, where the service is designated, is a sanctions finding.</w:t>
      </w:r>
    </w:p>
    <w:p>
      <w:pPr>
        <w:pStyle w:val="Heading2"/>
      </w:pPr>
      <w:r>
        <w:t>3.1 Designated privacy chains</w:t>
      </w:r>
    </w:p>
    <w:p>
      <w:r>
        <w:t>Monero (XMR), Zcash (ZEC) shielded transactions and Dash (DASH) PrivateSend are designated anonymity-enhanced. These protocols conceal amounts, addresses or both by design, which makes downstream tracing impossible rather than merely difficult. The institution does not accept the position that a transfer on such a chain can be risk-assessed from on-chain data alone.</w:t>
      </w:r>
    </w:p>
    <w:p>
      <w:r>
        <w:t>A transfer on a designated privacy chain that also lacks an attributed exchange is the highest-severity virtual-asset finding in this policy. There is no legitimate retail pattern in which value repeatedly leaves a customer's control on an anonymity-enhanced chain toward a counterparty that cannot be named.</w:t>
      </w:r>
    </w:p>
    <w:p>
      <w:pPr>
        <w:pStyle w:val="Heading2"/>
      </w:pPr>
      <w:r>
        <w:t>3.2 Mixing and tumbling services</w:t>
      </w:r>
    </w:p>
    <w:p>
      <w:r>
        <w:t>Mixing services, tumblers and privacy pools pool deposits from many users and return value from an unrelated pool, breaking the deterministic on-chain link between source and destination. Several such services are designated by the United States Office of Foreign Assets Control, including Tornado Cash and Blender.io together with its successor Sinbad.io. Transfers to designated service addresses are sanctions matters, not merely risk-scoring matters.</w:t>
      </w:r>
    </w:p>
    <w:p>
      <w:pPr>
        <w:pStyle w:val="ListBullet"/>
      </w:pPr>
      <w:r>
        <w:t>Screen every destination address against the designated-address list before release.</w:t>
      </w:r>
    </w:p>
    <w:p>
      <w:pPr>
        <w:pStyle w:val="ListBullet"/>
      </w:pPr>
      <w:r>
        <w:t>Treat a hit on a designated mixer address as a sanctions escalation with the same urgency as a comprehensively sanctioned jurisdiction.</w:t>
      </w:r>
    </w:p>
    <w:p>
      <w:pPr>
        <w:pStyle w:val="ListBullet"/>
      </w:pPr>
      <w:r>
        <w:t>Record the specific transaction hashes and destination addresses in the assessment; a narrative without addresses is not evidence.</w:t>
      </w:r>
    </w:p>
    <w:p>
      <w:pPr>
        <w:pStyle w:val="ListBullet"/>
      </w:pPr>
      <w:r>
        <w:t>Do not net mixer exposure against unrelated legitimate activity. Exposure is assessed gross.</w:t>
      </w:r>
    </w:p>
    <w:p>
      <w:r>
        <w:t>The addresses below are the designated service addresses currently screened by the monitoring engine. The list is maintained by Group Sanctions Compliance and is not exhaustive; an address absent from it is unscreened, not cleared.</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Destination address</w:t>
            </w:r>
          </w:p>
        </w:tc>
        <w:tc>
          <w:tcPr>
            <w:tcW w:type="dxa" w:w="4320"/>
          </w:tcPr>
          <w:p>
            <w:r>
              <w:rPr>
                <w:b/>
              </w:rPr>
              <w:t>Designated service</w:t>
            </w:r>
          </w:p>
        </w:tc>
      </w:tr>
      <w:tr>
        <w:tc>
          <w:tcPr>
            <w:tcW w:type="dxa" w:w="4320"/>
          </w:tcPr>
          <w:p>
            <w:r>
              <w:t>0x8589427373D6D84E98730D7795D8f6f8731FDA16</w:t>
            </w:r>
          </w:p>
        </w:tc>
        <w:tc>
          <w:tcPr>
            <w:tcW w:type="dxa" w:w="4320"/>
          </w:tcPr>
          <w:p>
            <w:r>
              <w:t>Tornado Cash - OFAC SDN</w:t>
            </w:r>
          </w:p>
        </w:tc>
      </w:tr>
      <w:tr>
        <w:tc>
          <w:tcPr>
            <w:tcW w:type="dxa" w:w="4320"/>
          </w:tcPr>
          <w:p>
            <w:r>
              <w:t>0x722122dF12D4e14e13Ac3b6895a86e84145b6967</w:t>
            </w:r>
          </w:p>
        </w:tc>
        <w:tc>
          <w:tcPr>
            <w:tcW w:type="dxa" w:w="4320"/>
          </w:tcPr>
          <w:p>
            <w:r>
              <w:t>Tornado Cash router - OFAC SDN</w:t>
            </w:r>
          </w:p>
        </w:tc>
      </w:tr>
      <w:tr>
        <w:tc>
          <w:tcPr>
            <w:tcW w:type="dxa" w:w="4320"/>
          </w:tcPr>
          <w:p>
            <w:r>
              <w:t>0xDD4c48C0B24039969fC16D1cdF626eaB821d3384</w:t>
            </w:r>
          </w:p>
        </w:tc>
        <w:tc>
          <w:tcPr>
            <w:tcW w:type="dxa" w:w="4320"/>
          </w:tcPr>
          <w:p>
            <w:r>
              <w:t>Tornado Cash 0.1 ETH pool - OFAC SDN</w:t>
            </w:r>
          </w:p>
        </w:tc>
      </w:tr>
      <w:tr>
        <w:tc>
          <w:tcPr>
            <w:tcW w:type="dxa" w:w="4320"/>
          </w:tcPr>
          <w:p>
            <w:r>
              <w:t>bc1qm34lsc65zpw79lxes69zkqmk6ee3ewf0j77s3h</w:t>
            </w:r>
          </w:p>
        </w:tc>
        <w:tc>
          <w:tcPr>
            <w:tcW w:type="dxa" w:w="4320"/>
          </w:tcPr>
          <w:p>
            <w:r>
              <w:t>Blender.io / Sinbad.io - OFAC SDN</w:t>
            </w:r>
          </w:p>
        </w:tc>
      </w:tr>
    </w:tbl>
    <w:p/>
    <w:p>
      <w:pPr>
        <w:pStyle w:val="Heading1"/>
      </w:pPr>
      <w:r>
        <w:t>4. Concentration and exposure limits</w:t>
      </w:r>
    </w:p>
    <w:p>
      <w:r>
        <w:t>Where virtual-asset transactions represent 70 percent or more of a customer's total transaction count over a rolling 30-day window, the customer is treated as a virtual-asset-concentrated profile. Concentration is not itself an adverse finding, but it changes the baseline: subsequent single transfers above 5,000 currency units on a concentrated profile are reviewed rather than sampled.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Indicator</w:t>
            </w:r>
          </w:p>
        </w:tc>
        <w:tc>
          <w:tcPr>
            <w:tcW w:type="dxa" w:w="2880"/>
          </w:tcPr>
          <w:p>
            <w:r>
              <w:rPr>
                <w:b/>
              </w:rPr>
              <w:t>Threshold</w:t>
            </w:r>
          </w:p>
        </w:tc>
        <w:tc>
          <w:tcPr>
            <w:tcW w:type="dxa" w:w="2880"/>
          </w:tcPr>
          <w:p>
            <w:r>
              <w:rPr>
                <w:b/>
              </w:rPr>
              <w:t>Treatment</w:t>
            </w:r>
          </w:p>
        </w:tc>
      </w:tr>
      <w:tr>
        <w:tc>
          <w:tcPr>
            <w:tcW w:type="dxa" w:w="2880"/>
          </w:tcPr>
          <w:p>
            <w:r>
              <w:t>30-day crypto share of activity</w:t>
            </w:r>
          </w:p>
        </w:tc>
        <w:tc>
          <w:tcPr>
            <w:tcW w:type="dxa" w:w="2880"/>
          </w:tcPr>
          <w:p>
            <w:r>
              <w:t>70 percent or more</w:t>
            </w:r>
          </w:p>
        </w:tc>
        <w:tc>
          <w:tcPr>
            <w:tcW w:type="dxa" w:w="2880"/>
          </w:tcPr>
          <w:p>
            <w:r>
              <w:t>Concentrated profile</w:t>
            </w:r>
          </w:p>
        </w:tc>
      </w:tr>
      <w:tr>
        <w:tc>
          <w:tcPr>
            <w:tcW w:type="dxa" w:w="2880"/>
          </w:tcPr>
          <w:p>
            <w:r>
              <w:t>Single transfer on a concentrated profile</w:t>
            </w:r>
          </w:p>
        </w:tc>
        <w:tc>
          <w:tcPr>
            <w:tcW w:type="dxa" w:w="2880"/>
          </w:tcPr>
          <w:p>
            <w:r>
              <w:t>Above 5,000</w:t>
            </w:r>
          </w:p>
        </w:tc>
        <w:tc>
          <w:tcPr>
            <w:tcW w:type="dxa" w:w="2880"/>
          </w:tcPr>
          <w:p>
            <w:r>
              <w:t>Individual review</w:t>
            </w:r>
          </w:p>
        </w:tc>
      </w:tr>
      <w:tr>
        <w:tc>
          <w:tcPr>
            <w:tcW w:type="dxa" w:w="2880"/>
          </w:tcPr>
          <w:p>
            <w:r>
              <w:t>Privacy-chain transfer, unattributed</w:t>
            </w:r>
          </w:p>
        </w:tc>
        <w:tc>
          <w:tcPr>
            <w:tcW w:type="dxa" w:w="2880"/>
          </w:tcPr>
          <w:p>
            <w:r>
              <w:t>Any amount</w:t>
            </w:r>
          </w:p>
        </w:tc>
        <w:tc>
          <w:tcPr>
            <w:tcW w:type="dxa" w:w="2880"/>
          </w:tcPr>
          <w:p>
            <w:r>
              <w:t>Immediate escalation</w:t>
            </w:r>
          </w:p>
        </w:tc>
      </w:tr>
      <w:tr>
        <w:tc>
          <w:tcPr>
            <w:tcW w:type="dxa" w:w="2880"/>
          </w:tcPr>
          <w:p>
            <w:r>
              <w:t>Designated mixer address</w:t>
            </w:r>
          </w:p>
        </w:tc>
        <w:tc>
          <w:tcPr>
            <w:tcW w:type="dxa" w:w="2880"/>
          </w:tcPr>
          <w:p>
            <w:r>
              <w:t>Any amount</w:t>
            </w:r>
          </w:p>
        </w:tc>
        <w:tc>
          <w:tcPr>
            <w:tcW w:type="dxa" w:w="2880"/>
          </w:tcPr>
          <w:p>
            <w:r>
              <w:t>Sanctions escalation</w:t>
            </w:r>
          </w:p>
        </w:tc>
      </w:tr>
      <w:tr>
        <w:tc>
          <w:tcPr>
            <w:tcW w:type="dxa" w:w="2880"/>
          </w:tcPr>
          <w:p>
            <w:r>
              <w:t>Onward forwarding of inbound value</w:t>
            </w:r>
          </w:p>
        </w:tc>
        <w:tc>
          <w:tcPr>
            <w:tcW w:type="dxa" w:w="2880"/>
          </w:tcPr>
          <w:p>
            <w:r>
              <w:t>Within 24 hours</w:t>
            </w:r>
          </w:p>
        </w:tc>
        <w:tc>
          <w:tcPr>
            <w:tcW w:type="dxa" w:w="2880"/>
          </w:tcPr>
          <w:p>
            <w:r>
              <w:t>Pass-through review</w:t>
            </w:r>
          </w:p>
        </w:tc>
      </w:tr>
    </w:tbl>
    <w:p/>
    <w:p>
      <w:r>
        <w:t>Fiat on-ramp and off-ramp activity is assessed against the same monetary thresholds as any other payment. A purchase of virtual assets funded by a series of card authorisations just below a per-transaction limit is a structuring pattern and is handled under the anti-money-laundering policy, not under this one.</w:t>
      </w:r>
    </w:p>
    <w:p>
      <w:pPr>
        <w:pStyle w:val="Heading1"/>
      </w:pPr>
      <w:r>
        <w:t>5. Card-based virtual asset purchases</w:t>
      </w:r>
    </w:p>
    <w:p>
      <w:r>
        <w:t>Card authorisations at quasi-cash and crypto-kiosk merchant category codes, in particular MCC 6051, are frequently used to fund virtual-asset purchases with compromised card credentials. A burst of declined authorisations at such a merchant followed by a successful card-not-present authorisation is a recognised card-testing and cash-out sequence.</w:t>
      </w:r>
    </w:p>
    <w:p>
      <w:pPr>
        <w:pStyle w:val="ListBullet"/>
      </w:pPr>
      <w:r>
        <w:t>Five or more declined authorisations by the same customer inside 24 hours is a velocity finding in its own right.</w:t>
      </w:r>
    </w:p>
    <w:p>
      <w:pPr>
        <w:pStyle w:val="ListBullet"/>
      </w:pPr>
      <w:r>
        <w:t>A card-not-present success above 3,000 currency units following four or more declines in the same window is treated as a probable compromise.</w:t>
      </w:r>
    </w:p>
    <w:p>
      <w:pPr>
        <w:pStyle w:val="ListBullet"/>
      </w:pPr>
      <w:r>
        <w:t>Related merchant category codes carry elevated risk: 7995 gambling, 6051 quasi-cash, 4829 money transfer, 6211 securities, 7273 dating services.</w:t>
      </w:r>
    </w:p>
    <w:p>
      <w:pPr>
        <w:pStyle w:val="ListBullet"/>
      </w:pPr>
      <w:r>
        <w:t>Freeze the instrument before contacting the customer where the sequence is present; contacting first gives a fraudster time to complete the cash-out.</w:t>
      </w:r>
    </w:p>
    <w:p>
      <w:pPr>
        <w:pStyle w:val="Heading1"/>
      </w:pPr>
      <w:r>
        <w:t>6. Evidence standards for virtual-asset assessments</w:t>
      </w:r>
    </w:p>
    <w:p>
      <w:r>
        <w:t>An assessment of virtual-asset risk must name the blockchain, the destination address, the transaction hash and the attributed counterparty or its absence for every transfer relied upon. Aggregate statements such as 'significant crypto exposure' are not acceptable without the underlying transaction identifiers, because they cannot be reviewed, reproduced or defended to a regulator.</w:t>
      </w:r>
    </w:p>
    <w:p>
      <w:r>
        <w:t>Where an automated engine and a human or model-produced narrative disagree about whether a rule fired, the deterministic engine result governs the score and the disagreement is recorded in the case file. The narrative may argue for a higher risk level than the score implies; it may never argue for a lower one without new evidence attached to the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Cryptocurrency and Virtual Asset Risk Policy</dc:title>
  <dc:subject/>
  <dc:creator>Group Financial Crime Compliance</dc:creator>
  <cp:keywords/>
  <dc:description>generated by python-docx</dc:description>
  <cp:lastModifiedBy/>
  <cp:revision>1</cp:revision>
  <dcterms:created xsi:type="dcterms:W3CDTF">2013-12-23T23:15:00Z</dcterms:created>
  <dcterms:modified xsi:type="dcterms:W3CDTF">2013-12-23T23:15:00Z</dcterms:modified>
  <cp:category>Policy</cp:category>
</cp:coreProperties>
</file>