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color w:val="1B5E20"/>
          <w:sz w:val="32"/>
          <w:szCs w:val="32"/>
        </w:rPr>
        <w:t xml:space="preserve">Phase 1.5: Maine Yield-Curve Stratification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Companion to LANDOWNER_INTEGRATION_STRATEGY.md addendum on yield curves as the cross-model integration backbone. Builds the 6 forest-type × 3 ecoregion × 6 owner-class = 108-cell lattice, with FIA plot counts per cell. Yield curves fit per populated cell will become the primary input for GCBM, LANDIS-II, and CEM, with FVS as the source-of-truth generator.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Method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Stratification axes: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Forest type (6 buckets): Spruce-fir (FORTYPCD 121-128), Northern hardwood (800-809), Aspen-birch (900-919), Mixedwood (700-799), White/Red pine (100-119), Oak/Pine/Hemlock (400-599), Other.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Ecoregion (3 zones, libcbm AIDB-aligned): ME_NH (Northern Highlands), ME_NCZ (Northern Central Zone), ME_APH (Acadian Plains/Hills).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Owner (6 HCB classes): NIPF, Industrial, Tribal, Federal, State, Local. Non-Forest and Water raster classes are masked out.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Result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Of 108 theoretical cells, 105 are populated and 32 have n ≥ 30 plots. The well-sampled cells cover 4,434 of 5,027 Maine forest plots (88 percent of the population). Sparse cells will need to be collapsed before yield-curve fitting; the natural collapse is Tribal + Federal + Local → Public-Other.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Top 32 cells (n ≥ 30)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300"/>
        <w:gridCol w:w="1800"/>
      </w:tblGrid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Forest type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Ecoregion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plots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338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334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329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326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281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275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243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176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163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White/Red pine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152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143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123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123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Aspen-birch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107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Oak/Pine/Hemlock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Aspen-birch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Aspen-birch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Aspen-birch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Aspen-birch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White/Red pine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Aspen-birch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Mixedwood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White/Red pine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Next steps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Collapse Tribal/Federal/Local → Public-Other to lift sparse cells over n=30.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Run FVS-NE and FVS-Acadian factorial across the populated cells × 4 treatment trajectories (notreat, light_partial, heavy_partial, clearcut_regen) on Cardinal.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Fit Chapman-Richards (“y = a*(1 - exp(-b*age))^c”) for AGB and flexible piecewise for treated trajectories where rotation imposes discontinuities.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Archive curves as maine_yield_curves_v1.csv (long format) plus .parquet for fast ingestion. Include 5/50/95 quantile columns.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 Write thin model-specific adapters: GCBM ingestion, LANDIS PnET parameter writer, CEM stratification CSV.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Files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config/maine_yield_curve_strata.csv — the 108-cell lattice with FIA plot counts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scripts/build_yield_curve_strata.R — generator script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docs/LANDOWNER_INTEGRATION_STRATEGY.md — design rationale (uploaded 28 April)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2026-04-29T15:19:39.367Z</dcterms:created>
  <dcterms:modified xsi:type="dcterms:W3CDTF">2026-04-29T15:19:39.367Z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