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CEM Refinement and Extension Plan</w:t>
      </w:r>
    </w:p>
    <w:p>
      <w:pPr>
        <w:spacing w:after="40"/>
      </w:pPr>
      <w:r>
        <w:rPr>
          <w:i/>
          <w:iCs/>
          <w:color w:val="595959"/>
          <w:sz w:val="22"/>
          <w:szCs w:val="22"/>
        </w:rPr>
        <w:t xml:space="preserve">FIA Coarsened Exact Matching carbon projection pipeline</w:t>
      </w:r>
    </w:p>
    <w:p>
      <w:pPr>
        <w:spacing w:after="200"/>
      </w:pPr>
      <w:r>
        <w:rPr>
          <w:color w:val="595959"/>
          <w:sz w:val="18"/>
          <w:szCs w:val="18"/>
        </w:rPr>
        <w:t xml:space="preserve">A. Weiskittel, Center for Research on Sustainable Forests, University of Maine · 30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rPr>
              <w:t xml:space="preserve">Scope decision (this session): </w:t>
            </w:r>
            <w:r>
              <w:t xml:space="preserve">finish the four current states (ME, MN, WA, GA) cleanly before adding new states; build out all four scenario axes (climate ensemble, management, disturbance, policy/economic); architect for later CONUS expansion without committing to it now.</w:t>
            </w:r>
          </w:p>
          <w:p>
            <w:r>
              <w:rPr>
                <w:b/>
                <w:bCs/>
              </w:rPr>
              <w:t xml:space="preserve">Inputs reviewed: </w:t>
            </w:r>
            <w:r>
              <w:t xml:space="preserve">local fia-cem-maine repo (R modules, docs, config, figures) and the live Cardinal project at ~/fia_cem_projections (account PUOM0008), including current queue, output tree, validation and hindcast docs, and config/state_constants.csv.</w:t>
            </w:r>
          </w:p>
        </w:tc>
      </w:tr>
    </w:tbl>
    <w:p>
      <w:pPr>
        <w:spacing w:after="16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Where the model stands</w:t>
      </w:r>
    </w:p>
    <w:p>
      <w:pPr>
        <w:spacing w:after="120"/>
      </w:pPr>
      <w:r>
        <w:t xml:space="preserve">The Maine pipeline is the validated core. A 1999 to 2024 subject matched BAU hindcast gives RMSE 16 MMT AGC (about 6% of mean stock) and bias near zero (-2 MMT, -1.1%). r17 is the canonical refined baseline; r18 adds Harris, Caputo, and Butler (HCB) 2025 landowner stratification and is the in flight refinement.</w:t>
      </w:r>
    </w:p>
    <w:p>
      <w:pPr>
        <w:spacing w:after="120"/>
      </w:pPr>
      <w:r>
        <w:t xml:space="preserve">The multistate extension to Minnesota, Washington, and Georgia is far along. The portability audit is essentially closed: the HCB by EPA Omernik Level III crosswalk is built (config/fia_plots_hcb_l3.csv, ~104k rows, 22 L3 ecoregions), per L3 SDImax lookups replace the Maine only tables, the switch tables in R/10 and run_projection.R carry MN/WA/GA, and the Maine hardcodes in R/06 are externalized to config/state_constants.csv. Production L7b runs exist for all three states at both RCP 4.5 and 8.5, and the sanity bound validations pass.</w:t>
      </w:r>
    </w:p>
    <w:p>
      <w:pPr>
        <w:spacing w:after="120"/>
      </w:pPr>
      <w:r>
        <w:t xml:space="preserve">The hindcasts are where the open scientific problems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60"/>
        <w:gridCol w:w="39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9"/>
                <w:szCs w:val="19"/>
              </w:rPr>
              <w:t xml:space="preserve">State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9"/>
                <w:szCs w:val="19"/>
              </w:rPr>
              <w:t xml:space="preserve">Hindcast vs subject matched FIA</w:t>
            </w:r>
          </w:p>
        </w:tc>
        <w:tc>
          <w:tcPr>
            <w:tcW w:type="dxa" w:w="3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9"/>
                <w:szCs w:val="19"/>
              </w:rPr>
              <w:t xml:space="preserve">Read</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ME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-2 MMT (-1.1%), RMSE 16 MMT (~6%)</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Validated, canonical</w:t>
            </w:r>
          </w:p>
        </w:tc>
      </w:tr>
      <w:tr>
        <w:tc>
          <w:tcPr>
            <w:tcW w:type="dxa" w:w="11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MN</w:t>
            </w:r>
          </w:p>
        </w:tc>
        <w:tc>
          <w:tcPr>
            <w:tcW w:type="dxa" w:w="43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Sanity bounds PASS; per acre C -23% vs ME</w:t>
            </w:r>
          </w:p>
        </w:tc>
        <w:tc>
          <w:tcPr>
            <w:tcW w:type="dxa" w:w="3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Plausible; residuals to finalize</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WA</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-25%, about -79 MMT (2019 EVALID)</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Persistent underprediction</w:t>
            </w:r>
          </w:p>
        </w:tc>
      </w:tr>
      <w:tr>
        <w:tc>
          <w:tcPr>
            <w:tcW w:type="dxa" w:w="11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GA</w:t>
            </w:r>
          </w:p>
        </w:tc>
        <w:tc>
          <w:tcPr>
            <w:tcW w:type="dxa" w:w="43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+40 MMT (+16%), RMSE 73 MMT (29%)</w:t>
            </w:r>
          </w:p>
        </w:tc>
        <w:tc>
          <w:tcPr>
            <w:tcW w:type="dxa" w:w="3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Overprediction</w:t>
            </w:r>
          </w:p>
        </w:tc>
      </w:tr>
    </w:tbl>
    <w:p>
      <w:pPr>
        <w:spacing w:after="100"/>
      </w:pPr>
    </w:p>
    <w:p>
      <w:pPr>
        <w:spacing w:after="120"/>
      </w:pPr>
      <w:r>
        <w:rPr>
          <w:b/>
          <w:bCs/>
        </w:rPr>
        <w:t xml:space="preserve">Two findings constrain the work. </w:t>
      </w:r>
      <w:r>
        <w:t xml:space="preserve">First, the Washington underprediction is a donor growth rate composition problem, not a geographic coverage problem. The CONUS donor experiment was a null (the database was never rebuilt, so the state list change was a no op), and once California donors were genuinely added the projection moved slightly down because the added donors grow more slowly than west side Washington. Adding geography cannot remedy an underprediction that arises because the existing donor pool already grows more slowly than the subject forest. Second, Georgia runs hot, the mirror image problem in a fast growing, plantation dominated, short rotation system where the CEM donor pool and the stationary dead pools both bias the trajectory upward.</w:t>
      </w:r>
    </w:p>
    <w:p>
      <w:pPr>
        <w:spacing w:after="120"/>
      </w:pPr>
      <w:r>
        <w:rPr>
          <w:b/>
          <w:bCs/>
        </w:rPr>
        <w:t xml:space="preserve">Operational state worth noting before new runs: </w:t>
      </w:r>
      <w:r>
        <w:t xml:space="preserve">the project is 63 GB, almost entirely 19 per_plot_projections.rds checkpoints at 2 to 3 GB each; a Washington statewide v2 job is currently running; and the curated repo intentionally keeps the older r20 engine in R/06 while Cardinal executes the patched r21/v4 engine from cem_pipeline_patch/. That repo to Cardinal divergence is a standing reproducibility risk this plan addresses directly.</w:t>
      </w:r>
    </w:p>
    <w:p>
      <w:pPr>
        <w:pStyle w:val="Heading1"/>
      </w:pPr>
      <w:r>
        <w:t xml:space="preserve">2. Refinement track: get the four states defensible</w:t>
      </w:r>
    </w:p>
    <w:p>
      <w:pPr>
        <w:spacing w:after="120"/>
      </w:pPr>
      <w:r>
        <w:t xml:space="preserve">Ordered by scientific leverage, not by effort.</w:t>
      </w:r>
    </w:p>
    <w:p>
      <w:pPr>
        <w:pStyle w:val="Heading2"/>
      </w:pPr>
      <w:r>
        <w:t xml:space="preserve">2.1 Resolve the Washington underprediction (highest priority)</w:t>
      </w:r>
    </w:p>
    <w:p>
      <w:pPr>
        <w:spacing w:after="120"/>
      </w:pPr>
      <w:r>
        <w:t xml:space="preserve">The donor pool grows too slowly relative to the subject forest, so the fix has to act on growth composition rather than donor membership. Three candidate mechanisms, tested in order:</w:t>
      </w:r>
    </w:p>
    <w:p>
      <w:pPr>
        <w:pStyle w:val="ListParagraph"/>
        <w:numPr>
          <w:ilvl w:val="0"/>
          <w:numId w:val="2"/>
        </w:numPr>
        <w:spacing w:after="60"/>
      </w:pPr>
      <w:r>
        <w:rPr>
          <w:b/>
          <w:bCs/>
        </w:rPr>
        <w:t xml:space="preserve">Growth rate weighted donor matching. </w:t>
      </w:r>
      <w:r>
        <w:t xml:space="preserve">Within each CEM cell, weight donor draws by a productivity covariate (site index, BGI, or asymptotic AGB already staged in config/bgi_by_pltcn.csv and config/asym_agb_by_pltcn.csv) so fast growing west side donors are not diluted. Most direct lever; reuses existing staged data.</w:t>
      </w:r>
    </w:p>
    <w:p>
      <w:pPr>
        <w:pStyle w:val="ListParagraph"/>
        <w:numPr>
          <w:ilvl w:val="0"/>
          <w:numId w:val="2"/>
        </w:numPr>
        <w:spacing w:after="60"/>
      </w:pPr>
      <w:r>
        <w:rPr>
          <w:b/>
          <w:bCs/>
        </w:rPr>
        <w:t xml:space="preserve">Ecoregion productivity stratification refinement. </w:t>
      </w:r>
      <w:r>
        <w:t xml:space="preserve">The L3 key may be too coarse for Washington; split the matching key on the west versus east Cascades crest, which wa_westside_donor_prototype.R already prototypes.</w:t>
      </w:r>
    </w:p>
    <w:p>
      <w:pPr>
        <w:pStyle w:val="ListParagraph"/>
        <w:numPr>
          <w:ilvl w:val="0"/>
          <w:numId w:val="2"/>
        </w:numPr>
        <w:spacing w:after="60"/>
      </w:pPr>
      <w:r>
        <w:rPr>
          <w:b/>
          <w:bCs/>
        </w:rPr>
        <w:t xml:space="preserve">Asymptote anchoring. </w:t>
      </w:r>
      <w:r>
        <w:t xml:space="preserve">If 1 and 2 do not close the gap, anchor the projection asymptote to the FIA observed AGB ceiling per cell (the v4 anchored logic) rather than letting the donor draw set the ceiling.</w:t>
      </w:r>
    </w:p>
    <w:p>
      <w:pPr>
        <w:spacing w:after="120"/>
      </w:pPr>
      <w:r>
        <w:rPr>
          <w:i/>
          <w:iCs/>
        </w:rPr>
        <w:t xml:space="preserve">Decision gate: </w:t>
      </w:r>
      <w:r>
        <w:t xml:space="preserve">rerun the WA hindcast after each mechanism and keep the smallest change that brings the residual inside roughly plus or minus 10%. Do not stack all three blindly.</w:t>
      </w:r>
    </w:p>
    <w:p>
      <w:pPr>
        <w:pStyle w:val="Heading2"/>
      </w:pPr>
      <w:r>
        <w:t xml:space="preserve">2.2 Diagnose and correct the Georgia overprediction</w:t>
      </w:r>
    </w:p>
    <w:p>
      <w:pPr>
        <w:spacing w:after="120"/>
      </w:pPr>
      <w:r>
        <w:t xml:space="preserve">Georgia is +16% hot. Decompose with the existing ga_l7b_residual_decomposition.R and ga_l7b_cohort_analysis.R scripts:</w:t>
      </w:r>
    </w:p>
    <w:p>
      <w:pPr>
        <w:pStyle w:val="ListParagraph"/>
        <w:numPr>
          <w:ilvl w:val="0"/>
          <w:numId w:val="2"/>
        </w:numPr>
        <w:spacing w:after="60"/>
      </w:pPr>
      <w:r>
        <w:rPr>
          <w:b/>
          <w:bCs/>
        </w:rPr>
        <w:t xml:space="preserve">Plantation rotation truncation. </w:t>
      </w:r>
      <w:r>
        <w:t xml:space="preserve">Loblolly is rotated on 25 to 35 years; terminal_age 80 in state_constants.csv is the natural stand value and is too long for the plantation cohort. Harvest choice and terminal age need to be owner and stand origin aware so industrial plantation cells turn over on the real rotation.</w:t>
      </w:r>
    </w:p>
    <w:p>
      <w:pPr>
        <w:pStyle w:val="ListParagraph"/>
        <w:numPr>
          <w:ilvl w:val="0"/>
          <w:numId w:val="2"/>
        </w:numPr>
        <w:spacing w:after="60"/>
      </w:pPr>
      <w:r>
        <w:rPr>
          <w:b/>
          <w:bCs/>
        </w:rPr>
        <w:t xml:space="preserve">Stationary dead and litter pools. </w:t>
      </w:r>
      <w:r>
        <w:t xml:space="preserve">Holding dead, litter, and soil stationary is more defensible in slow Maine than in fast Georgia where rapid turnover should move those pools (shared refinement, 2.4).</w:t>
      </w:r>
    </w:p>
    <w:p>
      <w:pPr>
        <w:pStyle w:val="ListParagraph"/>
        <w:numPr>
          <w:ilvl w:val="0"/>
          <w:numId w:val="2"/>
        </w:numPr>
        <w:spacing w:after="60"/>
      </w:pPr>
      <w:r>
        <w:rPr>
          <w:b/>
          <w:bCs/>
        </w:rPr>
        <w:t xml:space="preserve">CO2 fertilization in a moisture limited system. </w:t>
      </w:r>
      <w:r>
        <w:t xml:space="preserve">Norby 2010 CO2 response is productivity not water limited; Georgia growth is often drought limited, so the flat +10% per doubling likely overcredits the Southeast. Make the CO2 multiplier moisture aware or per region.</w:t>
      </w:r>
    </w:p>
    <w:p>
      <w:pPr>
        <w:pStyle w:val="Heading2"/>
      </w:pPr>
      <w:r>
        <w:t xml:space="preserve">2.3 Finalize r18 HCB landowner stratification across all four states</w:t>
      </w:r>
    </w:p>
    <w:p>
      <w:pPr>
        <w:spacing w:after="120"/>
      </w:pPr>
      <w:r>
        <w:t xml:space="preserve">Carry the per owner class harvest multipliers (NIPF 0.5, Industrial 1.5, Tribal/Federal 0.2, State 0.5, Local 0.3) into MN, WA, GA using the national HCB raster rather than Maine specific values, and confirm the multipliers are not silently Maine calibrated. This directly supports the Georgia plantation fix because the Industrial class is where rotation truncation matters most.</w:t>
      </w:r>
    </w:p>
    <w:p>
      <w:pPr>
        <w:pStyle w:val="Heading2"/>
      </w:pPr>
      <w:r>
        <w:t xml:space="preserve">2.4 Activate the non live carbon pools</w:t>
      </w:r>
    </w:p>
    <w:p>
      <w:pPr>
        <w:spacing w:after="120"/>
      </w:pPr>
      <w:r>
        <w:t xml:space="preserve">The seven pool accounting currently evolves only the live pools and holds standing/down dead, litter, and soil stationary. For a 70 year horizon across contrasting systems this is the largest shared structural simplification. Minimum defensible upgrade: let dead and litter respond to harvest and disturbance inputs and decay on per region rate constants (Smith et al. 2006 half lives are already cited). Soil can stay stationary as a documented assumption. This single change moves Washington (accumulating) and Georgia (turnover) in opposite, physically correct directions.</w:t>
      </w:r>
    </w:p>
    <w:p>
      <w:pPr>
        <w:pStyle w:val="Heading2"/>
      </w:pPr>
      <w:r>
        <w:t xml:space="preserve">2.5 Calibrate the climate response per L3 ecoregion</w:t>
      </w:r>
    </w:p>
    <w:p>
      <w:pPr>
        <w:spacing w:after="120"/>
      </w:pPr>
      <w:r>
        <w:t xml:space="preserve">state_constants.csv carries per state dT_2099 but the temperature growth response is still Maine northern hardwood and spruce fir in shape (1 + 0.010*dT with a quadratic penalty). Replace the scalar with an L3 ecoregion by forest type table calibrated against MACA or ClimateNA ensemble means, so Georgia pine drought, Washington Douglas fir mixed, and Minnesota drought sensitive hardwoods each carry their own coefficient. Prerequisite to trusting RCP 8.5 divergence and to the climate ensemble axis (3.1).</w:t>
      </w:r>
    </w:p>
    <w:p>
      <w:pPr>
        <w:pStyle w:val="Heading2"/>
      </w:pPr>
      <w:r>
        <w:t xml:space="preserve">2.6 Per state disturbance modules</w:t>
      </w:r>
    </w:p>
    <w:p>
      <w:pPr>
        <w:spacing w:after="120"/>
      </w:pPr>
      <w:r>
        <w:t xml:space="preserve">The disturbance module is Maine spruce budworm in its phase and species logic. state_constants.csv flags sbw_relevance per state but the engine still runs the Maine cycle. Build config/disturbance_schedule.csv keyed by state or L3 with peak phase, intensity, and affected forest types: eastern larch beetle and emerald ash borer for MN, mountain pine beetle and western spruce budworm plus the 10x fire baseline for WA, southern pine beetle and the prescribed versus unintended fire split for GA. Also feeds the disturbance scenario axis (3.3).</w:t>
      </w:r>
    </w:p>
    <w:p>
      <w:pPr>
        <w:pStyle w:val="Heading1"/>
      </w:pPr>
      <w:r>
        <w:t xml:space="preserve">3. Scenario track: build out all four axes</w:t>
      </w:r>
    </w:p>
    <w:p>
      <w:pPr>
        <w:spacing w:after="120"/>
      </w:pPr>
      <w:r>
        <w:t xml:space="preserve">Current scenario machinery exposes harvest level sets (BAU, no harvest, Q biasing, biomass biasing) and a single climate dimension (HadGEM2-AO RCP 4.5/8.5). All four axes below extend R/05_scenario_biasing.R and the climate interface, and each should be expressible as a --scenario_set plus a config table rather than new code paths.</w:t>
      </w:r>
    </w:p>
    <w:p>
      <w:pPr>
        <w:pStyle w:val="Heading2"/>
      </w:pPr>
      <w:r>
        <w:t xml:space="preserve">3.1 Climate ensemble</w:t>
      </w:r>
    </w:p>
    <w:p>
      <w:pPr>
        <w:spacing w:after="120"/>
      </w:pPr>
      <w:r>
        <w:t xml:space="preserve">Move from one GCM and two RCPs to a small CMIP6 ensemble. Target a 3 to 5 GCM by 2 to 3 SSP design (for example SSP2-4.5, SSP3-7.0, SSP5-8.5) so trajectories carry a climate uncertainty band rather than a single line. Parameterize 08_climate_interface.R to read config/climate_scenarios.csv of dT and CO2 trajectories per GCM by SSP by L3, and add an ensemble loop in the driver. Depends on 2.5.</w:t>
      </w:r>
    </w:p>
    <w:p>
      <w:pPr>
        <w:pStyle w:val="Heading2"/>
      </w:pPr>
      <w:r>
        <w:t xml:space="preserve">3.2 Management scenarios</w:t>
      </w:r>
    </w:p>
    <w:p>
      <w:pPr>
        <w:spacing w:after="120"/>
      </w:pPr>
      <w:r>
        <w:t xml:space="preserve">Expand the harvest set into a management design: rotation length sweeps, retention levels, afforestation and reforestation rates, harvest intensity, and partial versus clearcut shares per owner class. The owner class split from r18 is the natural axis; generalize the Maine partial versus clearcut logic out of 11_economic_harvest.R into a state agnostic management scenario set. This is the axis most useful to PERSEUS cross model comparison, since FVS, GCBM, and LANDIS can run the same management definitions.</w:t>
      </w:r>
    </w:p>
    <w:p>
      <w:pPr>
        <w:pStyle w:val="Heading2"/>
      </w:pPr>
      <w:r>
        <w:t xml:space="preserve">3.3 Disturbance scenarios</w:t>
      </w:r>
    </w:p>
    <w:p>
      <w:pPr>
        <w:spacing w:after="120"/>
      </w:pPr>
      <w:r>
        <w:t xml:space="preserve">Turn the per state disturbance modules (2.6) into a sweep: low, central, and high pest and fire intensity, plus a no disturbance counterfactual. The stress test axis; directly addresses reviewer questions about Washington fire and the next spruce budworm outbreak in Maine. Tunables already exist (insect_amp_mult, fire_amp_mult); the work is wiring them into a named scenario set and documenting central estimates.</w:t>
      </w:r>
    </w:p>
    <w:p>
      <w:pPr>
        <w:pStyle w:val="Heading2"/>
      </w:pPr>
      <w:r>
        <w:t xml:space="preserve">3.4 Policy and economic scenarios</w:t>
      </w:r>
    </w:p>
    <w:p>
      <w:pPr>
        <w:spacing w:after="120"/>
      </w:pPr>
      <w:r>
        <w:t xml:space="preserve">Three sub axes: stumpage price trajectories (Maine forecast infrastructure exists; generalize per state or hold others at generic Wear and Coulston regional prices), carbon price driven harvest (a harvest probability shifter as a function of an exogenous carbon price), and land use change (afforestation versus development pressure, the maine_land_use_scenarios() set generalized). Keep the Maine specific BPL easement and land use sets behind their current names and add generic versions only where a policy question is defined.</w:t>
      </w:r>
    </w:p>
    <w:p>
      <w:pPr>
        <w:pStyle w:val="Heading1"/>
      </w:pPr>
      <w:r>
        <w:t xml:space="preserve">4. Extension track: architect now, expand later</w:t>
      </w:r>
    </w:p>
    <w:p>
      <w:pPr>
        <w:spacing w:after="120"/>
      </w:pPr>
      <w:r>
        <w:t xml:space="preserve">No new state runs until the four are defensible. But the refinements above should be built state agnostic so the eventual expansion is data prep, not code:</w:t>
      </w:r>
    </w:p>
    <w:p>
      <w:pPr>
        <w:pStyle w:val="ListParagraph"/>
        <w:numPr>
          <w:ilvl w:val="0"/>
          <w:numId w:val="3"/>
        </w:numPr>
        <w:spacing w:after="60"/>
      </w:pPr>
      <w:r>
        <w:t xml:space="preserve">Finish externalizing the last Maine only modules: R/11_economic_harvest.R behind a --no_econ default for non Maine states, and rename generic scenario functions so nothing reads as Maine specific.</w:t>
      </w:r>
    </w:p>
    <w:p>
      <w:pPr>
        <w:pStyle w:val="ListParagraph"/>
        <w:numPr>
          <w:ilvl w:val="0"/>
          <w:numId w:val="3"/>
        </w:numPr>
        <w:spacing w:after="60"/>
      </w:pPr>
      <w:r>
        <w:t xml:space="preserve">Key every new lookup on L3 ecoregion and HCB class, both of which already span CONUS, rather than on state. The per plot L3 join removes the per state ecoregion default entirely and is the right long term key.</w:t>
      </w:r>
    </w:p>
    <w:p>
      <w:pPr>
        <w:pStyle w:val="ListParagraph"/>
        <w:numPr>
          <w:ilvl w:val="0"/>
          <w:numId w:val="3"/>
        </w:numPr>
        <w:spacing w:after="60"/>
      </w:pPr>
      <w:r>
        <w:t xml:space="preserve">Maintain the per state data recipe as a documented, repeatable sequence: FIA RDS cache, ClimateNA pull, county harvest logit offset, smoke test against EVALIDator, production. Capture it as a script so a new state is a config and a submit, not a porting exercise.</w:t>
      </w:r>
    </w:p>
    <w:p>
      <w:pPr>
        <w:pStyle w:val="ListParagraph"/>
        <w:numPr>
          <w:ilvl w:val="0"/>
          <w:numId w:val="3"/>
        </w:numPr>
        <w:spacing w:after="60"/>
      </w:pPr>
      <w:r>
        <w:t xml:space="preserve">The county harvest logit offset remains NOT STARTED for MN/WA/GA; build it as part of finishing those three, since it feeds both harvest realism and any later state.</w:t>
      </w:r>
    </w:p>
    <w:p>
      <w:pPr>
        <w:spacing w:after="120"/>
      </w:pPr>
      <w:r>
        <w:t xml:space="preserve">When breadth comes, the natural next tier is one representative state per uncovered RPA region (for example NC or AL for Southeast natural pine, OR for west side conifer, WI for the Lake States), then CONUS by ecoregion.</w:t>
      </w:r>
    </w:p>
    <w:p>
      <w:pPr>
        <w:pStyle w:val="Heading1"/>
      </w:pPr>
      <w:r>
        <w:t xml:space="preserve">5. Infrastructure and reproducibility</w:t>
      </w:r>
    </w:p>
    <w:p>
      <w:pPr>
        <w:spacing w:after="120"/>
      </w:pPr>
      <w:r>
        <w:t xml:space="preserve">These are not optional housekeeping; they gate trust in the numbers.</w:t>
      </w:r>
    </w:p>
    <w:p>
      <w:pPr>
        <w:pStyle w:val="ListParagraph"/>
        <w:numPr>
          <w:ilvl w:val="0"/>
          <w:numId w:val="3"/>
        </w:numPr>
        <w:spacing w:after="60"/>
      </w:pPr>
      <w:r>
        <w:rPr>
          <w:b/>
          <w:bCs/>
        </w:rPr>
        <w:t xml:space="preserve">Reconcile the repo and Cardinal engines. </w:t>
      </w:r>
      <w:r>
        <w:t xml:space="preserve">Cardinal runs cem_pipeline_patch/06_projection_engine.R (r21/v4) while the repo R/06 is the older r20 baseline. Promote the patched engine into the canonical R/ tree (or document the patch as the canonical deployment step) so committed code matches what produced the results. Do this before manuscript numbers are locked.</w:t>
      </w:r>
    </w:p>
    <w:p>
      <w:pPr>
        <w:pStyle w:val="ListParagraph"/>
        <w:numPr>
          <w:ilvl w:val="0"/>
          <w:numId w:val="3"/>
        </w:numPr>
        <w:spacing w:after="60"/>
      </w:pPr>
      <w:r>
        <w:rPr>
          <w:b/>
          <w:bCs/>
        </w:rPr>
        <w:t xml:space="preserve">Validation harness. </w:t>
      </w:r>
      <w:r>
        <w:t xml:space="preserve">scripts/validate_template.R already produces the 8 check sanity validation. Wrap it plus the hindcast comparison into a single per state, per scenario report that runs automatically after every production job, so regressions surface immediately. The unit test layer the pipeline currently lacks.</w:t>
      </w:r>
    </w:p>
    <w:p>
      <w:pPr>
        <w:pStyle w:val="ListParagraph"/>
        <w:numPr>
          <w:ilvl w:val="0"/>
          <w:numId w:val="3"/>
        </w:numPr>
        <w:spacing w:after="60"/>
      </w:pPr>
      <w:r>
        <w:rPr>
          <w:b/>
          <w:bCs/>
        </w:rPr>
        <w:t xml:space="preserve">Disk cull. </w:t>
      </w:r>
      <w:r>
        <w:t xml:space="preserve">19 per_plot_projections.rds checkpoints at 62 GB. After aggregation is confirmed, cull superseded checkpoints with confirmation, keeping the latest canonical run per state per RCP. The 20 May Washington null result shows why md5 and provenance tracking on these matters.</w:t>
      </w:r>
    </w:p>
    <w:p>
      <w:pPr>
        <w:pStyle w:val="ListParagraph"/>
        <w:numPr>
          <w:ilvl w:val="0"/>
          <w:numId w:val="3"/>
        </w:numPr>
        <w:spacing w:after="60"/>
      </w:pPr>
      <w:r>
        <w:rPr>
          <w:b/>
          <w:bCs/>
        </w:rPr>
        <w:t xml:space="preserve">Repo sync. </w:t>
      </w:r>
      <w:r>
        <w:t xml:space="preserve">The local clone and Cardinal have diverged across many .bak and .preupdate files. A clean sync plus a tagged r18 release once the four states are defensible gives a citable baseline for the methods note.</w:t>
      </w:r>
    </w:p>
    <w:p>
      <w:pPr>
        <w:pStyle w:val="Heading1"/>
      </w:pPr>
      <w:r>
        <w:t xml:space="preserve">6. Sequencing</w:t>
      </w:r>
    </w:p>
    <w:p>
      <w:pPr>
        <w:spacing w:after="120"/>
      </w:pPr>
      <w:r>
        <w:t xml:space="preserve">Phase boundaries are decision gates, not calendar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5340"/>
        <w:gridCol w:w="3200"/>
      </w:tblGrid>
      <w:tr>
        <w:trPr>
          <w:tblHeader/>
        </w:trPr>
        <w:tc>
          <w:tcPr>
            <w:tcW w:type="dxa" w:w="8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9"/>
                <w:szCs w:val="19"/>
              </w:rPr>
              <w:t xml:space="preserve">Phase</w:t>
            </w:r>
          </w:p>
        </w:tc>
        <w:tc>
          <w:tcPr>
            <w:tcW w:type="dxa" w:w="53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9"/>
                <w:szCs w:val="19"/>
              </w:rPr>
              <w:t xml:space="preserve">Focus</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color w:val="FFFFFF"/>
                <w:sz w:val="19"/>
                <w:szCs w:val="19"/>
              </w:rPr>
              <w:t xml:space="preserve">Gate</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A</w:t>
            </w:r>
          </w:p>
        </w:tc>
        <w:tc>
          <w:tcPr>
            <w:tcW w:type="dxa" w:w="5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Lock the engine and the pools: reconcile engines (5.1), activate dead/litter pools (2.4), wire automatic validation (5.2). Rerun all four states both RCPs.</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All four hindcasts regenerated against one engine</w:t>
            </w:r>
          </w:p>
        </w:tc>
      </w:tr>
      <w:tr>
        <w:tc>
          <w:tcPr>
            <w:tcW w:type="dxa" w:w="82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B</w:t>
            </w:r>
          </w:p>
        </w:tc>
        <w:tc>
          <w:tcPr>
            <w:tcW w:type="dxa" w:w="534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Fix the two outliers: WA donor growth weighting (2.1), GA rotation + CO2 moisture (2.2), finalize r18 landowner across states (2.3).</w:t>
            </w:r>
          </w:p>
        </w:tc>
        <w:tc>
          <w:tcPr>
            <w:tcW w:type="dxa" w:w="32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WA and GA residuals inside ~ +/- 10 to 15%</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C</w:t>
            </w:r>
          </w:p>
        </w:tc>
        <w:tc>
          <w:tcPr>
            <w:tcW w:type="dxa" w:w="5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Climate and disturbance realism: per L3 climate response (2.5), per state disturbance modules (2.6).</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RCP 8.5 divergence and disturbance effects defensible per region</w:t>
            </w:r>
          </w:p>
        </w:tc>
      </w:tr>
      <w:tr>
        <w:tc>
          <w:tcPr>
            <w:tcW w:type="dxa" w:w="82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D</w:t>
            </w:r>
          </w:p>
        </w:tc>
        <w:tc>
          <w:tcPr>
            <w:tcW w:type="dxa" w:w="534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Scenario build out: climate ensemble (3.1), management (3.2), disturbance (3.3), policy/economic (3.4), each as a --scenario_set plus config table.</w:t>
            </w:r>
          </w:p>
        </w:tc>
        <w:tc>
          <w:tcPr>
            <w:tcW w:type="dxa" w:w="32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tcPr>
          <w:p>
            <w:pPr>
              <w:jc w:val="left"/>
            </w:pPr>
            <w:r>
              <w:rPr>
                <w:b w:val="false"/>
                <w:bCs w:val="false"/>
                <w:sz w:val="19"/>
                <w:szCs w:val="19"/>
              </w:rPr>
              <w:t xml:space="preserve">Four state by ensemble by management matrix runnable from one submit pattern</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E</w:t>
            </w:r>
          </w:p>
        </w:tc>
        <w:tc>
          <w:tcPr>
            <w:tcW w:type="dxa" w:w="5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Manuscript and release: populate abstract and Section 3.5 with the corrected narrative, tag r18, archive data and code (FAIR).</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sz w:val="19"/>
                <w:szCs w:val="19"/>
              </w:rPr>
              <w:t xml:space="preserve">Extension architecture (Section 4) carried as future work</w:t>
            </w:r>
          </w:p>
        </w:tc>
      </w:tr>
    </w:tbl>
    <w:p>
      <w:pPr>
        <w:pStyle w:val="Heading1"/>
      </w:pPr>
      <w:r>
        <w:t xml:space="preserve">7. Open decisions for Aaron</w:t>
      </w:r>
    </w:p>
    <w:p>
      <w:pPr>
        <w:pStyle w:val="ListParagraph"/>
        <w:numPr>
          <w:ilvl w:val="0"/>
          <w:numId w:val="2"/>
        </w:numPr>
        <w:spacing w:after="60"/>
      </w:pPr>
      <w:r>
        <w:rPr>
          <w:b/>
          <w:bCs/>
        </w:rPr>
        <w:t xml:space="preserve">WA fix order. </w:t>
      </w:r>
      <w:r>
        <w:t xml:space="preserve">Confirm starting with growth rate weighted donor matching (2.1, mechanism 1) before the west/east Cascades key split. Recommended: reuses staged BGI/asymptote data and is the most direct lever.</w:t>
      </w:r>
    </w:p>
    <w:p>
      <w:pPr>
        <w:pStyle w:val="ListParagraph"/>
        <w:numPr>
          <w:ilvl w:val="0"/>
          <w:numId w:val="2"/>
        </w:numPr>
        <w:spacing w:after="60"/>
      </w:pPr>
      <w:r>
        <w:rPr>
          <w:b/>
          <w:bCs/>
        </w:rPr>
        <w:t xml:space="preserve">Soil pool. </w:t>
      </w:r>
      <w:r>
        <w:t xml:space="preserve">Confirm holding soil organic carbon stationary as a documented assumption while activating dead and litter (2.4), versus committing to a soil dynamics module now.</w:t>
      </w:r>
    </w:p>
    <w:p>
      <w:pPr>
        <w:pStyle w:val="ListParagraph"/>
        <w:numPr>
          <w:ilvl w:val="0"/>
          <w:numId w:val="2"/>
        </w:numPr>
        <w:spacing w:after="60"/>
      </w:pPr>
      <w:r>
        <w:rPr>
          <w:b/>
          <w:bCs/>
        </w:rPr>
        <w:t xml:space="preserve">Climate ensemble size. </w:t>
      </w:r>
      <w:r>
        <w:t xml:space="preserve">Confirm the GCM by SSP grid (suggest 3 GCMs by 3 SSPs as the default; larger ensembles multiply compute and disk).</w:t>
      </w:r>
    </w:p>
    <w:p>
      <w:pPr>
        <w:pStyle w:val="ListParagraph"/>
        <w:numPr>
          <w:ilvl w:val="0"/>
          <w:numId w:val="2"/>
        </w:numPr>
        <w:spacing w:after="60"/>
      </w:pPr>
      <w:r>
        <w:rPr>
          <w:b/>
          <w:bCs/>
        </w:rPr>
        <w:t xml:space="preserve">PERSEUS alignment. </w:t>
      </w:r>
      <w:r>
        <w:t xml:space="preserve">Whether the management scenario definitions (3.2) should be frozen to match the FVS, GCBM, and LANDIS cross model comparison before building them here, so all four models run identical scenarios.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FIA CEM — Refinement and Extension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864"/>
      <w:sz w:val="40"/>
      <w:szCs w:val="40"/>
    </w:rPr>
  </w:style>
  <w:style w:type="paragraph" w:styleId="Heading1">
    <w:name w:val="Heading 1"/>
    <w:basedOn w:val="Normal"/>
    <w:next w:val="Normal"/>
    <w:qFormat/>
    <w:pPr>
      <w:pBdr>
        <w:bottom w:val="single" w:color="2E75B6" w:sz="6" w:space="2"/>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CEM Refinement and Extension Plan</dc:title>
  <dc:creator>Aaron Weiskittel / CRSF</dc:creator>
  <cp:lastModifiedBy>Un-named</cp:lastModifiedBy>
  <cp:revision>1</cp:revision>
  <dcterms:created xsi:type="dcterms:W3CDTF">2026-05-30T09:57:34.996Z</dcterms:created>
  <dcterms:modified xsi:type="dcterms:W3CDTF">2026-05-30T09:57:34.997Z</dcterms:modified>
</cp:coreProperties>
</file>

<file path=docProps/custom.xml><?xml version="1.0" encoding="utf-8"?>
<Properties xmlns="http://schemas.openxmlformats.org/officeDocument/2006/custom-properties" xmlns:vt="http://schemas.openxmlformats.org/officeDocument/2006/docPropsVTypes"/>
</file>