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b/>
          <w:bCs/>
          <w:color w:val="1B5E20"/>
          <w:sz w:val="32"/>
          <w:szCs w:val="32"/>
        </w:rPr>
        <w:t xml:space="preserve">Maine Forest Ownership Atlas — Phase 1 Deliverable (v2)</w:t>
      </w:r>
    </w:p>
    <w:p>
      <w:pPr>
        <w:spacing w:after="120" w:before="0" w:line="280"/>
        <w:jc w:val="left"/>
      </w:pPr>
      <w:r>
        <w:rPr>
          <w:i/>
          <w:iCs/>
          <w:sz w:val="22"/>
          <w:szCs w:val="22"/>
        </w:rPr>
        <w:t xml:space="preserve">Companion data note for </w:t>
      </w:r>
      <w:r>
        <w:rPr>
          <w:i/>
          <w:iCs/>
          <w:sz w:val="22"/>
          <w:szCs w:val="22"/>
        </w:rPr>
        <w:t xml:space="preserve">LANDOWNER_INTEGRATION_STRATEGY.md</w:t>
      </w:r>
      <w:r>
        <w:rPr>
          <w:i/>
          <w:iCs/>
          <w:sz w:val="22"/>
          <w:szCs w:val="22"/>
        </w:rPr>
        <w:t xml:space="preserve"> (28 Apr 2026). Phase 1 builds the FIA plot to Harris–Caputo–Butler 2025 ownership-class crosswalk for use in subsequent FIA CEM, FVS, GCBM, and LANDIS integration phases.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Source data and method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HCB raster: NewEngland_LandOwners.tif (8.4 GB, 10 m, NAD83 EPSG:4269), Family Forest Research Center / USDA FS Northern Research Station, RDS-2025-0045 (Harris, Caputo, and Butler 2025). Eight ownership classes plus Non-Forest, Water, and Unknown.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FIA plots: Maine PLOT and COND tables, n = 6,288 plots with valid lat/lon, latest measurement per plot. Plot coordinates were extracted from the HCB raster using terra::extract(). Plots flagged as Non-Forest, Water, or Unknown by the raster were proportionally reassigned to the local county forest distribution (n = 3,209 reassigned of 6,288).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Cross-validation against FIA OWNCD: 2,549 of 5,634 directly comparable plots agree (45.2%). The mismatch reflects ownership turnover since the previous FIA cycle and resolution differences between point-FIA and 10 m raster pixel.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Statewide ownership distribution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500"/>
        <w:gridCol w:w="18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HCB Class</w:t>
            </w:r>
          </w:p>
        </w:tc>
        <w:tc>
          <w:tcPr>
            <w:tcW w:type="dxa" w:w="33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FIA plots</w:t>
            </w:r>
          </w:p>
        </w:tc>
        <w:tc>
          <w:tcPr>
            <w:tcW w:type="dxa" w:w="18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(10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6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ac)</w:t>
            </w:r>
          </w:p>
        </w:tc>
        <w:tc>
          <w:tcPr>
            <w:tcW w:type="dxa" w:w="15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forest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 (Family)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2,734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23.22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54.1%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1,635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32.6%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7.6%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Federal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2.8%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Tribal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0.3%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Maine forest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5,027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42.90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5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Maine forest is overwhelmingly private (87% NIPF + Industrial). NIPF (Family Forest, HCB Class 3) is the single largest class at 23.2 million acres or 54% of forest area. Corporate / industrial ownership (TIMO and REIT-managed timberland, HCB Class 4) covers 14.0 million acres or 33%, concentrated in the northern industrial counties. Public ownership totals 13% across State (8%), Federal (3%), Local (3%), and Tribal (&lt;1%).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County-level ownership shares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200"/>
        <w:gridCol w:w="1100"/>
        <w:gridCol w:w="1200"/>
        <w:gridCol w:w="13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County</w:t>
            </w:r>
          </w:p>
        </w:tc>
        <w:tc>
          <w:tcPr>
            <w:tcW w:type="dxa" w:w="11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NIPF %</w:t>
            </w:r>
          </w:p>
        </w:tc>
        <w:tc>
          <w:tcPr>
            <w:tcW w:type="dxa" w:w="12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Industrial %</w:t>
            </w:r>
          </w:p>
        </w:tc>
        <w:tc>
          <w:tcPr>
            <w:tcW w:type="dxa" w:w="11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 %</w:t>
            </w:r>
          </w:p>
        </w:tc>
        <w:tc>
          <w:tcPr>
            <w:tcW w:type="dxa" w:w="12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Federal %</w:t>
            </w:r>
          </w:p>
        </w:tc>
        <w:tc>
          <w:tcPr>
            <w:tcW w:type="dxa" w:w="13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Local+Tribal %</w:t>
            </w:r>
          </w:p>
        </w:tc>
        <w:tc>
          <w:tcPr>
            <w:tcW w:type="dxa" w:w="11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(10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6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ac)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Aroostook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8.83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Piscataquis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44%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5.58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Franklin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2.63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Somerset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36%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5.43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Penobscot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Washington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29%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3.98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Hancock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Cumberland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Oxford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Waldo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Kennebec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Androscoggin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Knox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Sagadahoc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Lincoln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5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Counties are sorted by Industrial share. The northern industrial belt (Aroostook, Piscataquis, Franklin, Somerset, Penobscot) shows 31 to 47% Industrial ownership, while the southern coastal counties (Knox, Lincoln, Sagadahoc, York) are essentially absent of industrial ownership and dominated by NIPF (&gt;80%).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Figure 1. Statewide ownership share by county</w:t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fig_maine_ownership_bars_png" descr="fig_maine_ownership_bars.png" title="fig_maine_ownership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i/>
          <w:iCs/>
          <w:sz w:val="18"/>
          <w:szCs w:val="18"/>
        </w:rPr>
        <w:t xml:space="preserve">Stacked bars sorted by Industrial share (left to right). The Industrial share gradient is the dominant pattern; NIPF dominates in the south.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Figure 2. County-level pie composition</w:t>
      </w:r>
    </w:p>
    <w:p>
      <w:pPr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fig_maine_ownership_pie_by_county_png" descr="fig_maine_ownership_pie_by_county.png" title="fig_maine_ownership_pie_by_coun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i/>
          <w:iCs/>
          <w:sz w:val="18"/>
          <w:szCs w:val="18"/>
        </w:rPr>
        <w:t xml:space="preserve">16-county small-multiples pies. Acres in millions next to each county name.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Implications for FIA CEM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The FIA CEM pipeline's harvest choice model (R/03_harvest_choice.R) currently treats ownership uniformly through the OWNGRPCD coarse classification. The HCB raster lets us split the dominant private class (OWNGRPCD = 40, ~87% of Maine forest) into NIPF and Industrial subclasses with materially different harvest behavior:</w:t>
      </w:r>
    </w:p>
    <w:p>
      <w:pPr>
        <w:spacing w:after="6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NIPF (Class 3) — typically light single-tree selection on long return intervals (30 to 50 yr), 30 to 40% of plots harvested in any given decade. Multiplier on logit harvest probability set to 0.5.</w:t>
      </w:r>
    </w:p>
    <w:p>
      <w:pPr>
        <w:spacing w:after="6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Industrial (Class 4) — aggressive partial cutting on 25 to 35 yr return intervals, 70 to 80% of plots active per decade. Multiplier 1.5.</w:t>
      </w:r>
    </w:p>
    <w:p>
      <w:pPr>
        <w:spacing w:after="10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Public/Tribal (Classes 5 to 8) — light improvement thinning only; 10 to 20% of plots per decade. Multipliers 0.2 to 0.5 by class.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Implementation: </w:t>
      </w:r>
      <w:r>
        <w:rPr>
          <w:sz w:val="22"/>
          <w:szCs w:val="22"/>
        </w:rPr>
        <w:t xml:space="preserve">cfg$harvest$use_owner_stratification</w:t>
      </w:r>
      <w:r>
        <w:rPr>
          <w:sz w:val="22"/>
          <w:szCs w:val="22"/>
        </w:rPr>
        <w:t xml:space="preserve"> flag (CLI: </w:t>
      </w:r>
      <w:r>
        <w:rPr>
          <w:sz w:val="22"/>
          <w:szCs w:val="22"/>
        </w:rPr>
        <w:t xml:space="preserve">--use_owner_stratification</w:t>
      </w:r>
      <w:r>
        <w:rPr>
          <w:sz w:val="22"/>
          <w:szCs w:val="22"/>
        </w:rPr>
        <w:t xml:space="preserve">) wired in R/06_projection_engine.R. r18 was the first projection pass with this enabled; r20 verified that 80% of the calibration improvement is spatial redistribution, only 20% is net rate reduction.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Files written</w:t>
      </w:r>
    </w:p>
    <w:p>
      <w:pPr>
        <w:spacing w:after="6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config/fia_plots_with_owner.csv — 6,288 rows, plot-level FIA OWNCD plus HCB class plus agreement flag</w:t>
      </w:r>
    </w:p>
    <w:p>
      <w:pPr>
        <w:spacing w:after="6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config/maine_ownership_atlas.csv — 106 rows, area by FIA county times HCB class with EXPNS-weighted area</w:t>
      </w:r>
    </w:p>
    <w:p>
      <w:pPr>
        <w:spacing w:after="6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config/owner_class_legend.csv — 9 rows, HCB code to label to CEM class to baseline treatment crosswalk</w:t>
      </w:r>
    </w:p>
    <w:p>
      <w:pPr>
        <w:spacing w:after="6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landowner/maine_ownership_statewide_summary.csv — 6 rows, statewide percent by class</w:t>
      </w:r>
    </w:p>
    <w:p>
      <w:pPr>
        <w:spacing w:after="6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figures/fig_maine_ownership_bars.png and fig_maine_ownership_pie_by_county.png — visualizations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78c623c4e814c670729a6946ee83d27c2c2ac9.png"/><Relationship Id="rId8" Type="http://schemas.openxmlformats.org/officeDocument/2006/relationships/image" Target="media/6ba4a60dd643c0fc271f0fd4e0ce2e338dce932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2026-04-30T14:17:53.766Z</dcterms:created>
  <dcterms:modified xsi:type="dcterms:W3CDTF">2026-04-30T14:17:53.767Z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