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280"/>
      </w:pPr>
      <w:r>
        <w:rPr>
          <w:b/>
          <w:bCs/>
          <w:color w:val="1B5E20"/>
          <w:sz w:val="32"/>
          <w:szCs w:val="32"/>
        </w:rPr>
        <w:t xml:space="preserve">Phase 1.5: Maine Yield-Curve Stratification (v2)</w:t>
      </w:r>
    </w:p>
    <w:p>
      <w:pPr>
        <w:spacing w:after="120" w:before="0" w:line="280"/>
        <w:jc w:val="left"/>
      </w:pPr>
      <w:r>
        <w:rPr>
          <w:i/>
          <w:iCs/>
          <w:sz w:val="22"/>
          <w:szCs w:val="22"/>
        </w:rPr>
        <w:t xml:space="preserve">Companion to </w:t>
      </w:r>
      <w:r>
        <w:rPr>
          <w:i/>
          <w:iCs/>
          <w:sz w:val="22"/>
          <w:szCs w:val="22"/>
        </w:rPr>
        <w:t xml:space="preserve">LANDOWNER_INTEGRATION_STRATEGY.md</w:t>
      </w:r>
      <w:r>
        <w:rPr>
          <w:i/>
          <w:iCs/>
          <w:sz w:val="22"/>
          <w:szCs w:val="22"/>
        </w:rPr>
        <w:t xml:space="preserve"> addendum on yield curves as the cross-model integration backbone. Builds the 6 forest-type × 3 ecoregion × 6 owner-class = 108-cell lattice, with FIA plot counts per cell. Yield curves fit per populated cell will become the primary input for GCBM, LANDIS-II, and CEM, with FVS as the source-of-truth generator.</w:t>
      </w:r>
    </w:p>
    <w:p>
      <w:pPr>
        <w:pStyle w:val="Heading2"/>
        <w:spacing w:after="140" w:before="280"/>
      </w:pPr>
      <w:r>
        <w:rPr>
          <w:b/>
          <w:bCs/>
          <w:color w:val="2E7D32"/>
          <w:sz w:val="26"/>
          <w:szCs w:val="26"/>
        </w:rPr>
        <w:t xml:space="preserve">Method</w:t>
      </w:r>
    </w:p>
    <w:p>
      <w:pPr>
        <w:spacing w:after="120" w:before="0" w:line="2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Stratification axes:</w:t>
      </w:r>
    </w:p>
    <w:p>
      <w:pPr>
        <w:spacing w:after="60" w:before="0" w:line="280"/>
        <w:jc w:val="left"/>
      </w:pPr>
      <w:r>
        <w:rPr>
          <w:sz w:val="22"/>
          <w:szCs w:val="22"/>
        </w:rPr>
        <w:t xml:space="preserve">• Forest type (6 buckets): Spruce-fir (FORTYPCD 121–128), Northern hardwood (800–809), Aspen-birch (900–919), Mixedwood (700–799), White/Red pine (100–119), Oak/Pine/Hemlock (400–599), Other.</w:t>
      </w:r>
    </w:p>
    <w:p>
      <w:pPr>
        <w:spacing w:after="60" w:before="0" w:line="280"/>
        <w:jc w:val="left"/>
      </w:pPr>
      <w:r>
        <w:rPr>
          <w:sz w:val="22"/>
          <w:szCs w:val="22"/>
        </w:rPr>
        <w:t xml:space="preserve">• Ecoregion (3 zones, libcbm AIDB-aligned): ME_NH (Northern Highlands), ME_NCZ (Northern Central Zone), ME_APH (Acadian Plains/Hills).</w:t>
      </w:r>
    </w:p>
    <w:p>
      <w:pPr>
        <w:spacing w:after="100" w:before="0" w:line="280"/>
        <w:jc w:val="left"/>
      </w:pPr>
      <w:r>
        <w:rPr>
          <w:sz w:val="22"/>
          <w:szCs w:val="22"/>
        </w:rPr>
        <w:t xml:space="preserve">• Owner (6 HCB classes): NIPF, Industrial, Tribal, Federal, State, Local. Non-Forest and Water raster classes are masked out.</w:t>
      </w:r>
    </w:p>
    <w:p>
      <w:pPr>
        <w:pStyle w:val="Heading2"/>
        <w:spacing w:after="140" w:before="280"/>
      </w:pPr>
      <w:r>
        <w:rPr>
          <w:b/>
          <w:bCs/>
          <w:color w:val="2E7D32"/>
          <w:sz w:val="26"/>
          <w:szCs w:val="26"/>
        </w:rPr>
        <w:t xml:space="preserve">Result</w:t>
      </w:r>
    </w:p>
    <w:p>
      <w:pPr>
        <w:spacing w:after="120" w:before="0" w:line="280"/>
        <w:jc w:val="left"/>
      </w:pPr>
      <w:r>
        <w:rPr>
          <w:sz w:val="22"/>
          <w:szCs w:val="22"/>
        </w:rPr>
        <w:t xml:space="preserve">Of 108 theoretical cells, 105 are populated and </w:t>
      </w:r>
      <w:r>
        <w:rPr>
          <w:b/>
          <w:bCs/>
          <w:sz w:val="22"/>
          <w:szCs w:val="22"/>
        </w:rPr>
        <w:t xml:space="preserve">32 cells have n ≥ 30 plots</w:t>
      </w:r>
      <w:r>
        <w:rPr>
          <w:sz w:val="22"/>
          <w:szCs w:val="22"/>
        </w:rPr>
        <w:t xml:space="preserve">. The well-sampled cells cover 4,434 of 5,027 Maine forest plots (88 percent of the population). Sparse cells will need to be collapsed before yield-curve fitting; the natural collapse is Tribal + Federal + Local → Public-Other.</w:t>
      </w:r>
    </w:p>
    <w:p>
      <w:pPr>
        <w:pStyle w:val="Heading2"/>
        <w:spacing w:after="140" w:before="280"/>
      </w:pPr>
      <w:r>
        <w:rPr>
          <w:b/>
          <w:bCs/>
          <w:color w:val="2E7D32"/>
          <w:sz w:val="26"/>
          <w:szCs w:val="26"/>
        </w:rPr>
        <w:t xml:space="preserve">Top 32 cells (n ≥ 30)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700"/>
        <w:gridCol w:w="1700"/>
        <w:gridCol w:w="1300"/>
        <w:gridCol w:w="1800"/>
      </w:tblGrid>
      <w:tr>
        <w:trPr>
          <w:tblHeader/>
        </w:trPr>
        <w:tc>
          <w:tcPr>
            <w:tcW w:type="dxa" w:w="3000"/>
            <w:tcBorders>
              <w:top w:val="single" w:color="1B5E20" w:sz="8"/>
              <w:left w:val="single" w:color="BFBFBF" w:sz="4"/>
              <w:bottom w:val="single" w:color="1B5E20" w:sz="8"/>
              <w:right w:val="single" w:color="BFBFBF" w:sz="4"/>
            </w:tcBorders>
            <w:shd w:fill="1B5E2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Forest type</w:t>
            </w:r>
          </w:p>
        </w:tc>
        <w:tc>
          <w:tcPr>
            <w:tcW w:type="dxa" w:w="1700"/>
            <w:tcBorders>
              <w:top w:val="single" w:color="1B5E20" w:sz="8"/>
              <w:left w:val="single" w:color="BFBFBF" w:sz="4"/>
              <w:bottom w:val="single" w:color="1B5E20" w:sz="8"/>
              <w:right w:val="single" w:color="BFBFBF" w:sz="4"/>
            </w:tcBorders>
            <w:shd w:fill="1B5E2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Ecoregion</w:t>
            </w:r>
          </w:p>
        </w:tc>
        <w:tc>
          <w:tcPr>
            <w:tcW w:type="dxa" w:w="1700"/>
            <w:tcBorders>
              <w:top w:val="single" w:color="1B5E20" w:sz="8"/>
              <w:left w:val="single" w:color="BFBFBF" w:sz="4"/>
              <w:bottom w:val="single" w:color="1B5E20" w:sz="8"/>
              <w:right w:val="single" w:color="BFBFBF" w:sz="4"/>
            </w:tcBorders>
            <w:shd w:fill="1B5E2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300"/>
            <w:tcBorders>
              <w:top w:val="single" w:color="1B5E20" w:sz="8"/>
              <w:left w:val="single" w:color="BFBFBF" w:sz="4"/>
              <w:bottom w:val="single" w:color="1B5E20" w:sz="8"/>
              <w:right w:val="single" w:color="BFBFBF" w:sz="4"/>
            </w:tcBorders>
            <w:shd w:fill="1B5E2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 plots</w:t>
            </w:r>
          </w:p>
        </w:tc>
        <w:tc>
          <w:tcPr>
            <w:tcW w:type="dxa" w:w="1800"/>
            <w:tcBorders>
              <w:top w:val="single" w:color="1B5E20" w:sz="8"/>
              <w:left w:val="single" w:color="BFBFBF" w:sz="4"/>
              <w:bottom w:val="single" w:color="1B5E20" w:sz="8"/>
              <w:right w:val="single" w:color="BFBFBF" w:sz="4"/>
            </w:tcBorders>
            <w:shd w:fill="1B5E2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Northern hardwood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ME_APH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NIPF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338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Northern hardwood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ME_NCZ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NIPF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334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Spruce-fir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ME_NH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Industrial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329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Spruce-fir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ME_APH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NIPF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326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Spruce-fir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ME_NH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NIPF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Northern hardwood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ME_NH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Industrial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281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Other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ME_APH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NIPF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275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Northern hardwood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ME_NH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NIPF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243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Northern hardwood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ME_NCZ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Industrial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176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Spruce-fir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ME_NCZ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NIPF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163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White/Red pine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ME_APH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NIPF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152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Spruce-fir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ME_APH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Industrial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143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Northern hardwood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ME_APH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Industrial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123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Spruce-fir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ME_NCZ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Industrial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123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Aspen-birch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ME_APH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NIPF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107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Oak/Pine/Hemlock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ME_APH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NIPF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Other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ME_APH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Industrial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Aspen-birch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ME_NH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NIPF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77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Aspen-birch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ME_NH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Industrial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Other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ME_NCZ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NIPF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Spruce-fir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ME_NH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Aspen-birch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ME_NCZ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NIPF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67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Northern hardwood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ME_NCZ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Other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ME_NH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NIPF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Aspen-birch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ME_APH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Industrial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Northern hardwood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ME_NH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White/Red pine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ME_APH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Industrial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Aspen-birch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ME_NCZ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Industrial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49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Mixedwood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ME_APH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NIPF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White/Red pine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ME_NCZ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NIPF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38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Other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ME_NH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Industrial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37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Spruce-fir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ME_NCZ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before="0" w:line="280"/>
        <w:jc w:val="left"/>
      </w:pPr>
      <w:r>
        <w:rPr>
          <w:i/>
          <w:iCs/>
          <w:sz w:val="18"/>
          <w:szCs w:val="18"/>
        </w:rPr>
        <w:t xml:space="preserve">Cells in bold (n ≥ 100) are the priority for first-pass yield-curve fitting. Northern hardwood and Spruce-fir × NIPF/Industrial dominate the well-sampled portion; spatial coverage spans all three ecoregions.</w:t>
      </w:r>
    </w:p>
    <w:p>
      <w:pPr>
        <w:pStyle w:val="Heading2"/>
        <w:spacing w:after="140" w:before="280"/>
      </w:pPr>
      <w:r>
        <w:rPr>
          <w:b/>
          <w:bCs/>
          <w:color w:val="2E7D32"/>
          <w:sz w:val="26"/>
          <w:szCs w:val="26"/>
        </w:rPr>
        <w:t xml:space="preserve">Next steps</w:t>
      </w:r>
    </w:p>
    <w:p>
      <w:pPr>
        <w:spacing w:after="120" w:before="0" w:line="2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1. Collapse Tribal/Federal/Local → Public-Other to lift sparse cells over n=30.</w:t>
      </w:r>
    </w:p>
    <w:p>
      <w:pPr>
        <w:spacing w:after="120" w:before="0" w:line="2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2. Run FVS-NE and FVS-Acadian factorial across the populated cells × 4 treatment trajectories (notreat, light_partial, heavy_partial, clearcut_regen) on Cardinal.</w:t>
      </w:r>
    </w:p>
    <w:p>
      <w:pPr>
        <w:spacing w:after="120" w:before="0" w:line="280"/>
        <w:jc w:val="left"/>
      </w:pPr>
      <w:r>
        <w:rPr>
          <w:sz w:val="22"/>
          <w:szCs w:val="22"/>
        </w:rPr>
        <w:t xml:space="preserve">3. Fit Chapman-Richards (</w:t>
      </w:r>
      <w:r>
        <w:rPr>
          <w:sz w:val="22"/>
          <w:szCs w:val="22"/>
        </w:rPr>
        <w:t xml:space="preserve">y = a × (1 − exp(−b × age))</w:t>
      </w:r>
      <w:r>
        <w:rPr>
          <w:sz w:val="22"/>
          <w:szCs w:val="22"/>
          <w:vertAlign w:val="superscript"/>
        </w:rPr>
        <w:t xml:space="preserve">c</w:t>
      </w:r>
      <w:r>
        <w:rPr>
          <w:sz w:val="22"/>
          <w:szCs w:val="22"/>
        </w:rPr>
        <w:t xml:space="preserve">) for AGB and flexible piecewise for treated trajectories where rotation imposes discontinuities.</w:t>
      </w:r>
    </w:p>
    <w:p>
      <w:pPr>
        <w:spacing w:after="120" w:before="0" w:line="2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4. Archive curves as maine_yield_curves_v1.csv (long format) plus .parquet for fast ingestion. Include 5/50/95 quantile columns.</w:t>
      </w:r>
    </w:p>
    <w:p>
      <w:pPr>
        <w:spacing w:after="120" w:before="0" w:line="2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5. Write thin model-specific adapters: GCBM ingestion, LANDIS PnET parameter writer, CEM stratification CSV, and Woodstock periodic-volume CSV.</w:t>
      </w:r>
    </w:p>
    <w:p>
      <w:pPr>
        <w:pStyle w:val="Heading2"/>
        <w:spacing w:after="140" w:before="280"/>
      </w:pPr>
      <w:r>
        <w:rPr>
          <w:b/>
          <w:bCs/>
          <w:color w:val="2E7D32"/>
          <w:sz w:val="26"/>
          <w:szCs w:val="26"/>
        </w:rPr>
        <w:t xml:space="preserve">Files</w:t>
      </w:r>
    </w:p>
    <w:p>
      <w:pPr>
        <w:spacing w:after="120" w:before="0" w:line="2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• config/maine_yield_curve_strata.csv — the 108-cell lattice with FIA plot counts</w:t>
      </w:r>
    </w:p>
    <w:p>
      <w:pPr>
        <w:spacing w:after="120" w:before="0" w:line="2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• scripts/build_yield_curve_strata.R — generator script</w:t>
      </w:r>
    </w:p>
    <w:p>
      <w:pPr>
        <w:spacing w:after="120" w:before="0" w:line="2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• docs/LANDOWNER_INTEGRATION_STRATEGY.md — design rationale (uploaded 28 April)</w:t>
      </w:r>
    </w:p>
    <w:p>
      <w:pPr>
        <w:spacing w:after="120" w:before="0" w:line="2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• docs/FVS_WOODSTOCK_STRATEGY.md — full strategy for cross-model yield-curve generation + Woodstock optimization (this companion doc, separate file)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80"/>
      <w:outlineLvl w:val="0"/>
    </w:pPr>
    <w:rPr>
      <w:rFonts w:ascii="Calibri" w:cs="Calibri" w:eastAsia="Calibri" w:hAnsi="Calibri"/>
      <w:b/>
      <w:bCs/>
      <w:color w:val="1B5E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Calibri" w:cs="Calibri" w:eastAsia="Calibri" w:hAnsi="Calibri"/>
      <w:b/>
      <w:bCs/>
      <w:color w:val="2E7D3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2026-04-30T14:17:53.853Z</dcterms:created>
  <dcterms:modified xsi:type="dcterms:W3CDTF">2026-04-30T14:17:53.853Z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