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color w:val="1B5E20"/>
          <w:sz w:val="32"/>
          <w:szCs w:val="32"/>
        </w:rPr>
        <w:t xml:space="preserve">FIA CEM Maine Refined Pipeline — r17 Headline Results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Working summary, 28 April 2026. Companion to MEMORY.md. r17 is the canonical refined-pipeline result; r18 (with HCB landowner stratification) is in the queue and will provide a marginal-effect comparison once it lands.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Refinement progression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r-tag adds a single named refinement to the previous tag. Because r12-r15 inflated the 2004 baseline by 120 MMT through inclusion of pre-1999 periodic-design plots in the subject pool, those tags do not represent calibrated trajectories. r17 corrects this by filtering the subject-pool expansion to annualized-design plots only, which retroactively excluded all of the r12 adds — making r17 effectively the r11 baseline plus the R5/R6/R8/R4 refinement stack.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700"/>
        <w:gridCol w:w="800"/>
        <w:gridCol w:w="800"/>
        <w:gridCol w:w="1000"/>
      </w:tblGrid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Refinement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 flags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cond.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2004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2074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 2019 age saturation, multi-pool C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(baseline)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scenario_Q via fixed_harvest_rate × Q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--fixed_harvest_rate 0.10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R1 subject pool expansion (incl. periodic)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--include_remeasured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4,466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r13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R5 BRMS Reineke SDImax cap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--use_brms_sdimax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393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r14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R8 decoupled CO2 + R6 disturbance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--use_decoupled_climate, --use_disturbance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388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r15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R4 FORTYPCD species climate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--use_species_climate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386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R4-VCC Potter species climate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--use_potter_vcc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r17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R1-v2 DESIGNCD-filtered (annualized only) + r16 stack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 R1 expansion; clean refined pipeline)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231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r18</w:t>
            </w:r>
          </w:p>
        </w:tc>
        <w:tc>
          <w:tcPr>
            <w:tcW w:type="dxa" w:w="4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R14 HCB landowner stratification (RUNNING)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--use_owner_stratification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(pending)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(pending)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(pending)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AGC values are MMT for RCP 4.5 wear BAU. Highlighted row (r17) is the canonical refined pipeline. The +14 percent undershoot at 2004 (231 vs 268 MMT subject-matched observed) is consistent with the r11 hindcast residual of −28 MMT and reflects the projection-vs-inventory definitional gap.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Headline scenario results, r17 refined pipeline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Twelve cells covering the full RCP × pipeline-overlay × harvest factorial.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600"/>
        <w:gridCol w:w="1500"/>
        <w:gridCol w:w="1500"/>
        <w:gridCol w:w="1500"/>
      </w:tblGrid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RCP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AGC 2004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AGC 2074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 MMT (MMT/yr)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No_harvest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-150 (-2.14)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-195 (-2.79)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+50%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-199 (-2.84)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No_harvest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-150 (-2.14)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-201 (-2.87)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+50%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-204 (-2.91)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No_harvest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-129 (-1.84)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-190 (-2.71)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+50%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-194 (-2.77)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No_harvest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-129 (-1.84)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-196 (-2.80)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 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+50%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-202 (-2.89)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Note the harvest sensitivity dominates the climate signal. RCP 4.5 BAU and RCP 8.5 BAU differ by about 7 MMT at 2074, while moving from BAU to +50 percent biomass reduces 2074 AGC by 11 MMT. The Maine economic overlay shaves 6 to 8 MMT off the harvest endpoints by directing harvest toward higher-value plots.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1. Refined pipeline summary (2 × 2)</w:t>
      </w:r>
    </w:p>
    <w:p>
      <w:pPr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r17_summary" descr="Maine forest carbon trajectories" title="r17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2. Progression r11 → r12 → r17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progression" descr="r-tag progression with calibration anchor" title="pro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Manuscript implications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Section 3.1 (Cross-validation): r17 2004 baseline AGC is 231 MMT vs subject-matched observed 268 MMT (-14 percent). RMSE 16 MMT, bias −2 MMT (-1.1 percent of mean) from the r11 hindcast carries forward.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Section 3.2 (Multi-pool): Total 2004 carbon 1,131 MMT; soil 705 MMT (62 percent), AG live 231 MMT (20 percent), litter 82 MMT, BG live 51 MMT, dead 50 MMT.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Section 3.3 (Climate): RCP 4.5 No_harvest 2074 = 97 MMT; RCP 8.5 = 119 MMT (+22 MMT divergence driven by CO2 fertilization). Under harvest, climate signal collapses to ~7 MMT.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Section 3.4 (Economics): Maine econ overlay drops BAU by 6 MMT, +50 percent harvest by 6-8 MMT.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Section 3.6 (Harvest): 71 MMT spread across the harvest factorial (No_harvest 97 to +50 percent biomass 25 MMT). Linear in scenario_Q.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Pending — r18 (HCB landowner stratification)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Four r18 jobs (8916881–8916884) running on Cardinal with --use_owner_stratification flag. Owner-class harvest probability multipliers are: NIPF 0.5, Industrial 1.5, Tribal 0.2, Federal 0.2, State 0.5, Local 0.3 (calibrated to Maine SAR by-county harvest behavior). Expected to converge state totals close to r17 (multipliers are mass-balanced) but redistribute harvest spatially toward the industrial north and away from the southern small-woodlot belt. Comparison figure script is staged: cardinal_staging/build_r17_vs_r18_figure.py.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Files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figures/fig_r17_summary_2x2.png — headline results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figures/fig_progression_rcp45.png and _rcp85.png — refinement attribution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figures/r17_summary_2x2.csv — endpoint table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state_summary_progression/state_*r17*_ci.csv (×4) — full trajectories with CIs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manuscript/20260418_fia_cem_maine_methods_note.md — Section 3 updated with r17 numbers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1068fc326c865dd1266c9004ef26aa3aa72633.png"/><Relationship Id="rId8" Type="http://schemas.openxmlformats.org/officeDocument/2006/relationships/image" Target="media/c574d3fe6203ca3ecfc87070cab9a263a8d4cd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2026-04-28T23:33:00.597Z</dcterms:created>
  <dcterms:modified xsi:type="dcterms:W3CDTF">2026-04-28T23:33:00.598Z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