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Supplement S2: Reineke SDImax by Maine Ecoregion and Forest Type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Plot-specific maximum stand density index (SDImax, Reineke 1933) was estimated using a Bayesian regression model (BRMS) fit by Weiskittel and colleagues to the FIA database (n = 173,740 plots across the seven New England states). The model conditions SDImax on plot location, forest type, and site productivity. The 2024 posterior of plot-mean SDImax was used as the upper density envelope in the FIA CEM growth pipeline (parameter --use_brms_sdimax).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supplement summarises the plot-level posterior means by ecoregion and forest-type group for the 3,253 Maine plots used in projection. Estimates are reported in metric (trees ha⁻¹) and US (trees ac⁻¹) units.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Table S2.1. SDImax by Maine ecoregion (all forest types pooled)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500"/>
        <w:gridCol w:w="1500"/>
        <w:gridCol w:w="1500"/>
      </w:tblGrid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Ecoregion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ha⁻¹)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ac⁻¹)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(ha⁻¹)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(ac⁻¹)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Acadian Highlands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1132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592–1563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239–633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 Maine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1016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612–1462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248–592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Eastern/Coastal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567–1407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230–569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Western Mountains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625–1430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253–579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Table S2.2. SDImax by FIA forest-type group (Maine, all ecoregions pooled)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500"/>
        <w:gridCol w:w="1500"/>
        <w:gridCol w:w="1400"/>
        <w:gridCol w:w="1400"/>
      </w:tblGrid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Forest-type group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ha⁻¹)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ac⁻¹)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(ha⁻¹)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(ac⁻¹)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453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642–1642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260–665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Softwood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683–1561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276–632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1061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649–1543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262–624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564–1474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228–597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1312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378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596–1306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241–529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354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560–1285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227–520</w:t>
            </w:r>
          </w:p>
        </w:tc>
      </w:tr>
      <w:tr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344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397–1351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161–547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Table S2.3. SDImax by ecoregion × forest-type group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Cell values are mean trees ha⁻¹ (mean trees ac⁻¹) with sample size below. Em-dash indicates no plots in that combination.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14"/>
        <w:gridCol w:w="1114"/>
        <w:gridCol w:w="1114"/>
        <w:gridCol w:w="1114"/>
        <w:gridCol w:w="1114"/>
        <w:gridCol w:w="1114"/>
        <w:gridCol w:w="1116"/>
      </w:tblGrid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Ecoregion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Softwood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Mixed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Hardwood</w:t>
            </w:r>
          </w:p>
        </w:tc>
        <w:tc>
          <w:tcPr>
            <w:tcW w:type="dxa" w:w="111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Acadian Highlands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1161.0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(470.0)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n=506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1250.0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(506.0)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n=19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1158.0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(469.0)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n=8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1050.0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(425.0)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n=116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925.0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(374.0)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n=456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754.0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(305.0)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n=8</w:t>
            </w:r>
          </w:p>
        </w:tc>
        <w:tc>
          <w:tcPr>
            <w:tcW w:type="dxa" w:w="111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1001.0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(405.0)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n=19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Western Mountains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1136.0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(460.0)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n=223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1156.0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(468.0)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n=40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1024.0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(414.0)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n=19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1040.0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(421.0)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n=85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906.0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(367.0)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n=436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913.0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(369.0)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n=24</w:t>
            </w:r>
          </w:p>
        </w:tc>
        <w:tc>
          <w:tcPr>
            <w:tcW w:type="dxa" w:w="111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727.0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(294.0)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n=14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Central Maine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1113.0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(450.0)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n=131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1108.0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(448.0)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n=134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1067.0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(432.0)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n=38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1045.0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(423.0)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n=59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965.0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(391.0)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n=280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893.0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(361.0)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n=102</w:t>
            </w:r>
          </w:p>
        </w:tc>
        <w:tc>
          <w:tcPr>
            <w:tcW w:type="dxa" w:w="111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905.0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(366.0)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n=17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Eastern/Coastal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999.0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(404.0)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n=199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1056.0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(427.0)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n=62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1044.0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(422.0)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n=18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937.0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(379.0)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n=55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999.0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(404.0)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n=140</w:t>
            </w:r>
          </w:p>
        </w:tc>
        <w:tc>
          <w:tcPr>
            <w:tcW w:type="dxa" w:w="111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814.0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(329.0)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n=31</w:t>
            </w:r>
          </w:p>
        </w:tc>
        <w:tc>
          <w:tcPr>
            <w:tcW w:type="dxa" w:w="111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700.0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(283.0)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777777"/>
                <w:sz w:val="16"/>
                <w:szCs w:val="16"/>
              </w:rPr>
              <w:t xml:space="preserve">n=14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Notes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Ecoregion classification follows EPA Omernik Level III, aggregated into four reporting zones used in CRSF Maine forest-condition reports: Acadian Highlands (Aroostook, Piscataquis), Western Mountains (Franklin, Oxford, Somerset), Central Maine (Androscoggin, Cumberland, Kennebec, Penobscot, Sagadahoc, Waldo, York), and Eastern/Coastal (Hancock, Knox, Lincoln, Washington).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Forest-type groups follow the FIA FORTYPCD coarse aggregation: Spruce-fir (FORTYPCD 121–128), Softwood pine and hemlock (102–105, 167, 381), Mixed (401, 402, 409), Aspen-birch (901–904), Northern hardwood (801–809, 922), Hardwood oak/maple (503, 505, 506, 515, 519, 520, 701, 703, 704, 708), and Other.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Spruce-fir stands carry the highest density envelope (mean 1,119 trees ha⁻¹, range 642–1,642 between 10th and 90th plot-level percentiles), reflecting their narrow conical crowns and tolerance of dense self-thinning trajectories. Hardwood oak-maple stands carry the loosest envelope (874 trees ha⁻¹). Ecoregion variation in mean SDImax across all forest types is modest (982 to 1,050 trees ha⁻¹), driven mostly by differences in forest-type mixture rather than productivity per se.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values are consumed by 06_projection_engine.R via the apply_sdimax_cap() function. Projected SDI is bounded above by the plot-keyed BRMS posterior mean each cycle, and stand growth is throttled multiplicatively as relative density (SDI/SDImax) approaches 0.6 to 1.0 to honour the Reineke self-thinning ceiling.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Source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Weiskittel et al., BRMS posterior plot-level SDImax dataset, January 2024 (n = 173,740 plots, eastern US). Data archived in CRSF/FIA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2026-04-27T03:29:01.729Z</dcterms:created>
  <dcterms:modified xsi:type="dcterms:W3CDTF">2026-04-27T03:29:01.729Z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