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color w:val="1B5E20"/>
          <w:sz w:val="32"/>
          <w:szCs w:val="32"/>
        </w:rPr>
        <w:t xml:space="preserve">Maine Forest Ownership Atlas — Phase 1 Deliverable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Companion data note for LANDOWNER_INTEGRATION_STRATEGY.md (28 Apr 2026). Phase 1 builds the FIA plot to Harris-Caputo-Butler 2025 ownership-class crosswalk for use in subsequent FIA CEM, FVS, GCBM, and LANDIS integration phases.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Source data and method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HCB raster: NewEngland_LandOwners.tif (8.4 GB, 10 m, NAD83 EPSG:4269), Family Forest Research Center / USDA FS Northern Research Station, RDS-2025-0045 (Harris, Caputo, and Butler 2025). Eight ownership classes plus Non-Forest, Water, and Unknown.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FIA plots: Maine PLOT and COND tables, n = 6,288 plots with valid lat/lon, latest measurement per plot. Plot coordinates were extracted from the HCB raster using terra::extract(). Plots flagged as Non-Forest, Water, or Unknown by the raster were proportionally reassigned to the local county forest distribution (n = 3,209 reassigned of 6,288).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Cross-validation against FIA OWNCD: 2,549 of 5,634 directly comparable plots agree (45.2%). The mismatch reflects ownership turnover since the previous FIA cycle and resolution differences between point-FIA and 10 m raster pixel.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Statewide ownership distribution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300"/>
        <w:gridCol w:w="1700"/>
        <w:gridCol w:w="1500"/>
      </w:tblGrid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HCB Class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FIA plots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(M ac)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forest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 (Family)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2734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23.22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54.1%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1635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13.99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32.6%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Tribal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Federal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3.27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7.6%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1.08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Maine forest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5,027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42.90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5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Maine forest is overwhelmingly private (87% NIPF + Industrial). NIPF (Family Forest, HCB Class 3) is the single largest class at 23.2 million acres or 54% of forest area. Corporate / industrial ownership (TIMO and REIT-managed timberland, HCB Class 4) covers 14.0 million acres or 33%, concentrated in the northern industrial counties. Public ownership totals 13% across State (8%), Federal (3%), Local (3%), and Tribal (&lt;1%).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County-level ownership shares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200"/>
      </w:tblGrid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County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NIPF 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Industrial 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 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Federal 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Local+Tribal 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(M ac)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Aroostook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8.83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Piscataquis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5.58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Franklin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2.63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Somerset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5.43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Penobscot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4.57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Washington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3.98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Hancock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Cumberland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1.02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Oxford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3.25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Waldo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Kennebec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Androscoggin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Knox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York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Sagadahoc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Lincoln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5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Counties are sorted by Industrial share. The northern industrial belt (Aroostook, Piscataquis, Franklin, Somerset, Penobscot) shows 31 to 47% Industrial ownership, while the southern coastal counties (Knox, Lincoln, Sagadahoc, York) are essentially absent of industrial ownership and dominated by NIPF (&gt;80%).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1. Statewide ownership share by county</w:t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ownership_bars" descr="Maine forest ownership share by county" title="Ownership stacked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2. County-level pie composition</w:t>
      </w:r>
    </w:p>
    <w:p>
      <w:pPr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ownership_pies" descr="Maine forest ownership by county pie" title="Ownership p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Implications for FIA CEM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FIA CEM pipeline's harvest choice model (R/03_harvest_choice.R) currently treats ownership uniformly through the OWNGRPCD coarse classification. The HCB raster lets us split the dominant private class (OWNGRPCD = 40, ~87% of Maine forest) into NIPF and Industrial subclasses with materially different harvest behavior: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NIPF (Class 3) — typically light single-tree selection on long return intervals (30 to 50 yr), 30 to 40% of plots active per decade. Multiplier on logit harvest probability set to 0.5.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Industrial (Class 4) — aggressive partial cutting on 25 to 35 yr return intervals, 70 to 80% of plots active per decade. Multiplier 1.5.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Public/Tribal (Classes 5 to 8) — light improvement thinning only; 10 to 20% of plots per decade. Multipliers 0.2 to 0.5 by class.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Implementation: cfg$harvest$use_owner_stratification flag (CLI: --use_owner_stratification) is now wired in R/03_harvest_choice.R. When enabled, harvest_prob is multiplied by the owner-class multiplier from owner_class_legend.csv after the W&amp;C 2025 logit transform. R18 will be the first projection pass with this enabled, paired with R17 (DESIGNCD-corrected baseline) as the calibrated reference.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Files written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config/fia_plots_with_owner.csv — 6,288 rows, plot-level FIA OWNCD plus HCB class plus agreement flag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config/maine_ownership_atlas.csv — 106 rows, area by FIA county times HCB class with EXPNS-weighted area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config/owner_class_legend.csv — 9 rows, HCB code to label to CEM class to baseline treatment crosswalk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landowner/maine_ownership_statewide_summary.csv — 6 rows, statewide percent by class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figures/fig_maine_ownership_bars.png and fig_maine_ownership_pie_by_county.png — visualizations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78c623c4e814c670729a6946ee83d27c2c2ac9.png"/><Relationship Id="rId8" Type="http://schemas.openxmlformats.org/officeDocument/2006/relationships/image" Target="media/6ba4a60dd643c0fc271f0fd4e0ce2e338dce932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2026-04-28T23:22:46.986Z</dcterms:created>
  <dcterms:modified xsi:type="dcterms:W3CDTF">2026-04-28T23:22:46.987Z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