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color w:val="1B5E20"/>
          <w:sz w:val="32"/>
          <w:szCs w:val="32"/>
        </w:rPr>
        <w:t xml:space="preserve">FIA CEM Maine — Consolidated Results Through r19</w:t>
      </w:r>
    </w:p>
    <w:p>
      <w:pPr>
        <w:spacing w:after="12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Working summary for co-author review, 29 April 2026. Combines the r17–r19 calibration story, headline figures, and key tables. Companion to the methods note draft (manuscript/20260418_fia_cem_maine_methods_note.md) and the GitHub repo at fia-cem-maine.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Bottom line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Adding Harris-Caputo-Butler (2025) ownership-class harvest behavior to the projection (refinement R14) produces the largest single calibration improvement we identify: hindcast RMSE drops 35 percent (from 22.4 to 14.5 MMT) and absolute bias drops from 15-22 MMT to 0-7 MMT against subject-matched observed FIA inventory at 5-year intervals from 2004 to 2024. This holds across all four RCP × economic-overlay combinations and is more consequential to projection accuracy than the SDImax cap, climate decoupling, or species vulnerability layers individually.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1. Calibration story summary</w:t>
      </w:r>
    </w:p>
    <w:p>
      <w:pPr>
        <w:jc w:val="center"/>
      </w:pPr>
      <w:r>
        <w:drawing>
          <wp:inline distT="0" distB="0" distL="0" distR="0">
            <wp:extent cx="6096000" cy="4476750"/>
            <wp:effectExtent t="0" r="0" b="0" l="0"/>
            <wp:docPr id="1" name="fig_manuscript_figure_1_png" descr="fig_manuscript_figure_1.png" title="fig_manuscript_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(a) BAU AGC trajectories r17/r18/r19 with subject-matched observed FIA overlaid; r17 systematically undershoots while r18/r19 track the observations. (b) Maine forest ownership composition by area (HCB 2025). (c) Hindcast RMSE across the 4 RCP × overlay cells × 3 tags. (d) 2074 BAU AGC by tag, RCP, overlay.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2. Hindcast residual time series</w:t>
      </w:r>
    </w:p>
    <w:p>
      <w:pPr>
        <w:jc w:val="center"/>
      </w:pPr>
      <w:r>
        <w:drawing>
          <wp:inline distT="0" distB="0" distL="0" distR="0">
            <wp:extent cx="6096000" cy="4191000"/>
            <wp:effectExtent t="0" r="0" b="0" l="0"/>
            <wp:docPr id="1" name="fig_hindcast_residuals_r17_r18_r19_png" descr="fig_hindcast_residuals_r17_r18_r19.png" title="fig_hindcast_residuals_r17_r18_r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Per-year residual (projected − observed) at 2004, 2009, 2014, 2019, 2024 across all four RCP × overlay panels. r17 (blue) consistently undershoots by 8 to 32 MMT; r18 (red) and r19 (purple) track observations within the ±15 MMT band, with slight middle-year overshoot.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Table 1. Hindcast skill metrics (vs subject-matched observed FIA)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500"/>
        <w:gridCol w:w="1300"/>
        <w:gridCol w:w="1300"/>
        <w:gridCol w:w="1300"/>
      </w:tblGrid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RCP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-20.1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20.1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-22.3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22.3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18.7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-15.1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15.1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20.5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-17.7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17.7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14.5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-5.8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12.5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-7.2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12.7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-0.1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13.3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14.9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-2.0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14.6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-4.7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14.6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-6.1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15.6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+0.4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15.0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-1.2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Metrics computed across 5 evaluation years (2004, 2009, 2014, 2019, 2024). Highlighted rows mark r18/r19 (refined pipeline with R14 owner stratification). All-cell mean: r17 RMSE 21.5 MMT, bias −18.8 MMT; r18 RMSE 14.9 MMT, bias −3.8 MMT.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Table 2. 2074 BAU AGC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500"/>
        <w:gridCol w:w="1300"/>
        <w:gridCol w:w="1300"/>
        <w:gridCol w:w="1300"/>
      </w:tblGrid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RCP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2004 AGC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2074 BAU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B5E2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Δ MMT/yr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231.4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35.9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-2.79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230.8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-2.87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232.8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-2.71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r17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232.1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35.6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-2.81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237.0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48.7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-2.69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236.4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44.3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-2.74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238.3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58.6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-2.57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r18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237.8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52.4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-2.65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237.1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49.3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-2.68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236.8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46.1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-2.72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238.5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59.3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-2.56</w:t>
            </w:r>
          </w:p>
        </w:tc>
      </w:tr>
      <w:tr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9C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r19</w:t>
            </w:r>
          </w:p>
        </w:tc>
        <w:tc>
          <w:tcPr>
            <w:tcW w:type="dxa" w:w="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wear+econ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238.1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55.4</w:t>
            </w:r>
          </w:p>
        </w:tc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-2.61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2004 baseline AGC ranges 231-238 MMT (r17 to r18 owner-stratified, 5-7 MMT improvement closer to subject-matched observed 268 MMT). 2074 BAU endpoints 30-59 MMT, with r18 (NIPF 0.5×, Industrial 1.5×) retaining 13-17 MMT more carbon than r17 (uniform-rate). r19 adds R12 county multiplier; small marginal effect.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3. Refinement progression r11 → r19</w:t>
      </w:r>
    </w:p>
    <w:p>
      <w:pPr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fig_progression_rcp45_png" descr="fig_progression_rcp45.png" title="fig_progression_rcp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Eight refinement layers: r11 baseline → r12 R1 expansion (overshoots due to periodic FIA design plots) → r13 SDImax → r14 climate decoupling + disturbance → r15-r16 species climate → r17 DESIGNCD-corrected baseline → r18 R14 owner stratification → r19 + R12 county offset. Calibration anchor at 268 MMT (subject-matched observed).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4. R14 marginal effect (r18 vs r17)</w:t>
      </w:r>
    </w:p>
    <w:p>
      <w:pPr>
        <w:jc w:val="center"/>
      </w:pPr>
      <w:r>
        <w:drawing>
          <wp:inline distT="0" distB="0" distL="0" distR="0">
            <wp:extent cx="6096000" cy="3048000"/>
            <wp:effectExtent t="0" r="0" b="0" l="0"/>
            <wp:docPr id="1" name="fig_r17_vs_r18_rcp45_png" descr="fig_r17_vs_r18_rcp45.png" title="fig_r17_vs_r18_rcp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Owner-stratified r18 retains 13 MMT more 2074 AGC than uniform-rate r17 (RCP 4.5 wear BAU). The marginal effect peaks at ~24 MMT around 2034-2039 then decays as both trajectories approach steady state.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Figure 5. Maine forest ownership distribution</w:t>
      </w:r>
    </w:p>
    <w:p>
      <w:pPr>
        <w:jc w:val="center"/>
      </w:pPr>
      <w:r>
        <w:drawing>
          <wp:inline distT="0" distB="0" distL="0" distR="0">
            <wp:extent cx="6096000" cy="4476750"/>
            <wp:effectExtent t="0" r="0" b="0" l="0"/>
            <wp:docPr id="1" name="fig_maine_ownership_pie_by_county_png" descr="fig_maine_ownership_pie_by_county.png" title="fig_maine_ownership_pie_by_coun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16-county pies showing the gradient from industrial-dominated north (Aroostook 47% Class 4, Piscataquis 44%) to NIPF-dominated south (Knox, Lincoln, Sagadahoc all &gt;80% NIPF).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Pipeline progression and r-tag history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r6 — Wear 2019 age saturation, multi-pool C (baseline)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r11 — scenario_Q via fixed_harvest_rate × Q (manuscript-headline at submission)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r12 — + R1 subject pool expansion via --include_remeasured (overshot baseline by +120 MMT)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r13 — + R5 BRMS Reineke SDImax cap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r14 — + R8 decoupled CO2 + R6 episodic disturbance (SBW + wind + fire)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r15 — + R4 FORTYPCD species climate (D'Amato 2011, Iverson 2008)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r16 — + R4-VCC Potter 2017 SPCD-resolved species climate vulnerability</w:t>
      </w:r>
    </w:p>
    <w:p>
      <w:pPr>
        <w:spacing w:after="3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r17 — R1-v2 DESIGNCD filter (annualized only) + r16 stack — CANONICAL refined-pipeline baseline</w:t>
      </w:r>
    </w:p>
    <w:p>
      <w:pPr>
        <w:spacing w:after="3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r18 — + R14 HCB landowner stratification (NIPF 0.5×, Industrial 1.5×, Tribal/Federal 0.2×, State 0.5×, Local 0.3×)</w:t>
      </w:r>
    </w:p>
    <w:p>
      <w:pPr>
        <w:spacing w:after="3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r19 — + R12 county harvest offset (small marginal effect on top of r18)</w:t>
      </w:r>
    </w:p>
    <w:p>
      <w:pPr>
        <w:spacing w:after="10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r20 — R14 mass-balanced variant (in flight; isolates spatial vs net rate effect)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Recommendations for the manuscript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Lead with the calibration story (Figure 1, Table 1). The 35 percent RMSE reduction from owner stratification is the publishable headline result.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r18 wear+econ as the canonical pipeline for state-scale carbon projections going forward. r19 (+ R12 county) provides marginal additional skill but is an orthogonal refinement.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Acknowledge structural limitations: (1) 14% 2004 baseline undershoot reflects the projection-vs-inventory definitional mismatch (subject pool excludes ~60% of FIA plots remeasured between 1999-2008); (2) HCB raster is 2022 vintage so recent ownership churn is not captured; (3) climate uncertainty is single-GCM (HadGEM2-AO point estimate); CMIP5 ensemble sampling is staged for follow-on work.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Files in the repository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Pipeline modules — R/01_data_prep.R through R/11_economic_harvest.R (6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Driver scripts — scripts/run_projection.R, build_*.R utilities (10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Visualization — viz/build_*.py figure generators (8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Cardinal SLURM — osc/submit_*.sh and expand_*.sh (15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Reference tables — config/maine_*.csv, sdimax_brms_*.csv, owner_*.csv, fia_plots_with_owner.csv, county_owner_crosstab.csv, maine_yield_curve_strata.csv (15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Headline figures — figures/fig_manuscript_figure_1.png, fig_hindcast_residuals_*, fig_progression_*, fig_r17_vs_r18_*, fig_r17_r20_attribution_*, fig_maine_ownership_*, fig_sdimax_ecoregion_fortype.png (10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Tables — tables/r17_summary_2x2.csv, r18_summary_2x2.csv, progression_*.csv (5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Subject-matched CV — subject_matched_cv/cv_residuals_*, cv_metrics_* (4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State expansion CSVs — state_summary_progression/state_*_r{17,18,19}_ci.csv (12 files)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Manuscript and policy — manuscript/20260418_fia_cem_maine_methods_note.md (refreshed), supplements S2-S4 docx, r17_progression_summary.docx, policy_brief/20260418_mcc_maine_forest_carbon_brief.md (refreshed)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Documentation — README, CHANGELOG, LICENSE (MIT), .gitignore, docs/MEMORY, docs/PIPELINE_OVERVIEW, docs/CLIMATE_ENSEMBLE_DESIGN, docs/LANDOWNER_INTEGRATION_STRATEGY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a823a146c96309d8669d238fbf405b3396eb4e.png"/><Relationship Id="rId8" Type="http://schemas.openxmlformats.org/officeDocument/2006/relationships/image" Target="media/a45ac26933432cff493319abdb2bbc2b5ba76f27.png"/><Relationship Id="rId9" Type="http://schemas.openxmlformats.org/officeDocument/2006/relationships/image" Target="media/c487033893a8722ca5bb3747bd21d8b22bbdb70a.png"/><Relationship Id="rId10" Type="http://schemas.openxmlformats.org/officeDocument/2006/relationships/image" Target="media/2f1cfd5cbc269cb9199969c8ea4eb2b2c2858e32.png"/><Relationship Id="rId11" Type="http://schemas.openxmlformats.org/officeDocument/2006/relationships/image" Target="media/6ba4a60dd643c0fc271f0fd4e0ce2e338dce932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2026-04-29T21:50:14.504Z</dcterms:created>
  <dcterms:modified xsi:type="dcterms:W3CDTF">2026-04-29T21:50:14.504Z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