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80"/>
      </w:pPr>
      <w:r>
        <w:rPr>
          <w:b/>
          <w:bCs/>
          <w:color w:val="1B5E20"/>
          <w:sz w:val="32"/>
          <w:szCs w:val="32"/>
        </w:rPr>
        <w:t xml:space="preserve">FIA CEM Maine — Consolidated Results Through r20</w:t>
      </w:r>
    </w:p>
    <w:p>
      <w:pPr>
        <w:spacing w:after="120" w:before="0" w:line="280"/>
        <w:jc w:val="left"/>
      </w:pPr>
      <w:r>
        <w:rPr>
          <w:b w:val="false"/>
          <w:bCs w:val="false"/>
          <w:i/>
          <w:iCs/>
          <w:sz w:val="22"/>
          <w:szCs w:val="22"/>
        </w:rPr>
        <w:t xml:space="preserve">Working summary for co-author review, 30 April 2026. Combines r17–r20 calibration story, headline figures, and key tables. Carbon stocks reported as million metric tons (MMT) of element C, with concentration units (e.g., trees ha</w:t>
      </w:r>
      <w:r>
        <w:rPr>
          <w:b w:val="false"/>
          <w:bCs w:val="false"/>
          <w:i/>
          <w:iCs/>
          <w:sz w:val="22"/>
          <w:szCs w:val="22"/>
          <w:vertAlign w:val="superscript"/>
        </w:rPr>
        <w:t xml:space="preserve">−1</w:t>
      </w:r>
      <w:r>
        <w:rPr>
          <w:b w:val="false"/>
          <w:bCs w:val="false"/>
          <w:i/>
          <w:iCs/>
          <w:sz w:val="22"/>
          <w:szCs w:val="22"/>
        </w:rPr>
        <w:t xml:space="preserve"> or trees ac</w:t>
      </w:r>
      <w:r>
        <w:rPr>
          <w:b w:val="false"/>
          <w:bCs w:val="false"/>
          <w:i/>
          <w:iCs/>
          <w:sz w:val="22"/>
          <w:szCs w:val="22"/>
          <w:vertAlign w:val="superscript"/>
        </w:rPr>
        <w:t xml:space="preserve">−1</w:t>
      </w:r>
      <w:r>
        <w:rPr>
          <w:b w:val="false"/>
          <w:bCs w:val="false"/>
          <w:i/>
          <w:iCs/>
          <w:sz w:val="22"/>
          <w:szCs w:val="22"/>
        </w:rPr>
        <w:t xml:space="preserve">) where relevant. CO</w:t>
      </w:r>
      <w:r>
        <w:rPr>
          <w:b w:val="false"/>
          <w:bCs w:val="false"/>
          <w:i/>
          <w:iCs/>
          <w:sz w:val="22"/>
          <w:szCs w:val="22"/>
          <w:vertAlign w:val="subscript"/>
        </w:rPr>
        <w:t xml:space="preserve">2</w:t>
      </w:r>
      <w:r>
        <w:rPr>
          <w:b w:val="false"/>
          <w:bCs w:val="false"/>
          <w:i/>
          <w:iCs/>
          <w:sz w:val="22"/>
          <w:szCs w:val="22"/>
        </w:rPr>
        <w:t xml:space="preserve"> fertilization follows Norby 2010. Companion to the methods note draft and the GitHub repo at fia-cem-maine.</w:t>
      </w:r>
    </w:p>
    <w:p>
      <w:pPr>
        <w:pStyle w:val="Heading2"/>
        <w:spacing w:after="140" w:before="280"/>
      </w:pPr>
      <w:r>
        <w:rPr>
          <w:b/>
          <w:bCs/>
          <w:color w:val="2E7D32"/>
          <w:sz w:val="26"/>
          <w:szCs w:val="26"/>
        </w:rPr>
        <w:t xml:space="preserve">Bottom line</w:t>
      </w:r>
    </w:p>
    <w:p>
      <w:pPr>
        <w:spacing w:after="120" w:before="0" w:line="280"/>
        <w:jc w:val="left"/>
      </w:pPr>
      <w:r>
        <w:rPr>
          <w:b w:val="false"/>
          <w:bCs w:val="false"/>
          <w:i w:val="false"/>
          <w:iCs w:val="false"/>
          <w:sz w:val="22"/>
          <w:szCs w:val="22"/>
        </w:rPr>
        <w:t xml:space="preserve">Adding Harris–Caputo–Butler (2025) ownership-class harvest behavior to the projection (refinement R14) is the largest single calibration improvement we identify. Hindcast RMSE drops from 22.4 to 14.5 MMT and absolute bias drops from 15–22 MMT to 0–7 MMT against subject-matched observed FIA inventory at five-year intervals from 2004 to 2024.</w:t>
      </w:r>
    </w:p>
    <w:p>
      <w:pPr>
        <w:spacing w:after="120" w:before="0" w:line="280"/>
        <w:jc w:val="left"/>
      </w:pPr>
      <w:r>
        <w:rPr>
          <w:b w:val="false"/>
          <w:bCs w:val="false"/>
          <w:i w:val="false"/>
          <w:iCs w:val="false"/>
          <w:sz w:val="22"/>
          <w:szCs w:val="22"/>
        </w:rPr>
        <w:t xml:space="preserve">The mass-balanced variant (r20) shows that </w:t>
      </w:r>
      <w:r>
        <w:rPr>
          <w:b/>
          <w:bCs/>
          <w:i w:val="false"/>
          <w:iCs w:val="false"/>
          <w:sz w:val="22"/>
          <w:szCs w:val="22"/>
        </w:rPr>
        <w:t xml:space="preserve">80%</w:t>
      </w:r>
      <w:r>
        <w:rPr>
          <w:b w:val="false"/>
          <w:bCs w:val="false"/>
          <w:i w:val="false"/>
          <w:iCs w:val="false"/>
          <w:sz w:val="22"/>
          <w:szCs w:val="22"/>
        </w:rPr>
        <w:t xml:space="preserve"> of the carbon-retention effect is </w:t>
      </w:r>
      <w:r>
        <w:rPr>
          <w:b/>
          <w:bCs/>
          <w:i w:val="false"/>
          <w:iCs w:val="false"/>
          <w:sz w:val="22"/>
          <w:szCs w:val="22"/>
        </w:rPr>
        <w:t xml:space="preserve">spatial redistribution</w:t>
      </w:r>
      <w:r>
        <w:rPr>
          <w:b w:val="false"/>
          <w:bCs w:val="false"/>
          <w:i w:val="false"/>
          <w:iCs w:val="false"/>
          <w:sz w:val="22"/>
          <w:szCs w:val="22"/>
        </w:rPr>
        <w:t xml:space="preserve"> and only 20% is the net rate reduction. Even when statewide harvest mass is preserved, owner stratification recovers most of the calibration gain by routing harvest to industrial counties and away from NIPF-dominated counties.</w:t>
      </w:r>
    </w:p>
    <w:p>
      <w:pPr>
        <w:pStyle w:val="Heading2"/>
        <w:spacing w:after="140" w:before="280"/>
      </w:pPr>
      <w:r>
        <w:rPr>
          <w:b/>
          <w:bCs/>
          <w:color w:val="2E7D32"/>
          <w:sz w:val="26"/>
          <w:szCs w:val="26"/>
        </w:rPr>
        <w:t xml:space="preserve">Figure 1. Calibration story summary</w:t>
      </w:r>
    </w:p>
    <w:p>
      <w:pPr>
        <w:jc w:val="center"/>
      </w:pPr>
      <w:r>
        <w:drawing>
          <wp:inline distT="0" distB="0" distL="0" distR="0">
            <wp:extent cx="6096000" cy="4476750"/>
            <wp:effectExtent t="0" r="0" b="0" l="0"/>
            <wp:docPr id="1" name="fig_manuscript_figure_1_png" descr="fig_manuscript_figure_1.png" title="fig_manuscript_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476750"/>
                    </a:xfrm>
                    <a:prstGeom prst="rect">
                      <a:avLst/>
                    </a:prstGeom>
                  </pic:spPr>
                </pic:pic>
              </a:graphicData>
            </a:graphic>
          </wp:inline>
        </w:drawing>
      </w:r>
    </w:p>
    <w:p>
      <w:pPr>
        <w:spacing w:after="200" w:before="0" w:line="280"/>
        <w:jc w:val="center"/>
      </w:pPr>
      <w:r>
        <w:rPr>
          <w:b w:val="false"/>
          <w:bCs w:val="false"/>
          <w:i/>
          <w:iCs/>
          <w:sz w:val="18"/>
          <w:szCs w:val="18"/>
        </w:rPr>
        <w:t xml:space="preserve">(a) BAU AGC trajectories r17/r18/r19 with subject-matched observed FIA overlaid. (b) Maine forest ownership composition by area (HCB 2025). (c) Hindcast RMSE across 4 RCP × overlay cells × 3 tags. (d) 2074 BAU AGC by tag, RCP, overlay.</w:t>
      </w:r>
    </w:p>
    <w:p>
      <w:pPr>
        <w:pStyle w:val="Heading2"/>
        <w:spacing w:after="140" w:before="280"/>
      </w:pPr>
      <w:r>
        <w:rPr>
          <w:b/>
          <w:bCs/>
          <w:color w:val="2E7D32"/>
          <w:sz w:val="26"/>
          <w:szCs w:val="26"/>
        </w:rPr>
        <w:t xml:space="preserve">Figure 2. Hindcast residual time series</w:t>
      </w:r>
    </w:p>
    <w:p>
      <w:pPr>
        <w:jc w:val="center"/>
      </w:pPr>
      <w:r>
        <w:drawing>
          <wp:inline distT="0" distB="0" distL="0" distR="0">
            <wp:extent cx="6096000" cy="4191000"/>
            <wp:effectExtent t="0" r="0" b="0" l="0"/>
            <wp:docPr id="1" name="fig_hindcast_residuals_r17_r18_r19_png" descr="fig_hindcast_residuals_r17_r18_r19.png" title="fig_hindcast_residuals_r17_r18_r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191000"/>
                    </a:xfrm>
                    <a:prstGeom prst="rect">
                      <a:avLst/>
                    </a:prstGeom>
                  </pic:spPr>
                </pic:pic>
              </a:graphicData>
            </a:graphic>
          </wp:inline>
        </w:drawing>
      </w:r>
    </w:p>
    <w:p>
      <w:pPr>
        <w:spacing w:after="200" w:before="0" w:line="280"/>
        <w:jc w:val="center"/>
      </w:pPr>
      <w:r>
        <w:rPr>
          <w:b w:val="false"/>
          <w:bCs w:val="false"/>
          <w:i/>
          <w:iCs/>
          <w:sz w:val="18"/>
          <w:szCs w:val="18"/>
        </w:rPr>
        <w:t xml:space="preserve">Per-year residual (projected − observed) at 2004, 2009, 2014, 2019, 2024 across all four RCP × overlay panels. r17 (blue) consistently undershoots by 8–32 MMT; r18 (red) and r19 (purple) track observations within the ±15 MMT band.</w:t>
      </w:r>
    </w:p>
    <w:p>
      <w:pPr>
        <w:pStyle w:val="Heading2"/>
        <w:spacing w:after="140" w:before="280"/>
      </w:pPr>
      <w:r>
        <w:rPr>
          <w:b/>
          <w:bCs/>
          <w:color w:val="2E7D32"/>
          <w:sz w:val="26"/>
          <w:szCs w:val="26"/>
        </w:rPr>
        <w:t xml:space="preserve">Figure 3. Ownership effect decomposition (r17 → r20)</w:t>
      </w:r>
    </w:p>
    <w:p>
      <w:pPr>
        <w:jc w:val="center"/>
      </w:pPr>
      <w:r>
        <w:drawing>
          <wp:inline distT="0" distB="0" distL="0" distR="0">
            <wp:extent cx="6096000" cy="4381500"/>
            <wp:effectExtent t="0" r="0" b="0" l="0"/>
            <wp:docPr id="1" name="fig_r17_r20_attribution_rcp45_png" descr="fig_r17_r20_attribution_rcp45.png" title="fig_r17_r20_attribution_rcp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381500"/>
                    </a:xfrm>
                    <a:prstGeom prst="rect">
                      <a:avLst/>
                    </a:prstGeom>
                  </pic:spPr>
                </pic:pic>
              </a:graphicData>
            </a:graphic>
          </wp:inline>
        </w:drawing>
      </w:r>
    </w:p>
    <w:p>
      <w:pPr>
        <w:spacing w:after="200" w:before="0" w:line="280"/>
        <w:jc w:val="center"/>
      </w:pPr>
      <w:r>
        <w:rPr>
          <w:b w:val="false"/>
          <w:bCs w:val="false"/>
          <w:i/>
          <w:iCs/>
          <w:sz w:val="18"/>
          <w:szCs w:val="18"/>
        </w:rPr>
        <w:t xml:space="preserve">Decomposition of R14 owner stratification. r20 (mass-balanced, green) isolates the spatial-redistribution effect; r18 − r20 (blue dashed) isolates the net rate effect; r18 − r17 (red) is the total. ~80% of the carbon-retention effect comes from spatial redistribution alone.</w:t>
      </w:r>
    </w:p>
    <w:p>
      <w:r>
        <w:br w:type="page"/>
      </w:r>
    </w:p>
    <w:p>
      <w:pPr>
        <w:pStyle w:val="Heading2"/>
        <w:spacing w:after="140" w:before="280"/>
      </w:pPr>
      <w:r>
        <w:rPr>
          <w:b/>
          <w:bCs/>
          <w:color w:val="2E7D32"/>
          <w:sz w:val="26"/>
          <w:szCs w:val="26"/>
        </w:rPr>
        <w:t xml:space="preserve">Table 1. Hindcast skill metrics vs subject-matched observed FIA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700"/>
        <w:gridCol w:w="1300"/>
        <w:gridCol w:w="1300"/>
        <w:gridCol w:w="1300"/>
      </w:tblGrid>
      <w:tr>
        <w:trPr>
          <w:tblHeader/>
        </w:trPr>
        <w:tc>
          <w:tcPr>
            <w:tcW w:type="dxa" w:w="800"/>
            <w:tcBorders>
              <w:top w:val="single" w:color="1B5E20" w:sz="8"/>
              <w:left w:val="single" w:color="BFBFBF" w:sz="4"/>
              <w:bottom w:val="single" w:color="1B5E20" w:sz="8"/>
              <w:right w:val="single" w:color="BFBFBF" w:sz="4"/>
            </w:tcBorders>
            <w:shd w:fill="1B5E20" w:color="auto" w:val="clear"/>
            <w:tcMar>
              <w:top w:type="dxa" w:w="100"/>
              <w:left w:type="dxa" w:w="140"/>
              <w:bottom w:type="dxa" w:w="100"/>
              <w:right w:type="dxa" w:w="140"/>
            </w:tcMar>
            <w:vAlign w:val="center"/>
          </w:tcPr>
          <w:p>
            <w:pPr>
              <w:jc w:val="center"/>
            </w:pPr>
            <w:r>
              <w:rPr>
                <w:b/>
                <w:bCs/>
                <w:color w:val="FFFFFF"/>
                <w:sz w:val="20"/>
                <w:szCs w:val="20"/>
              </w:rPr>
              <w:t xml:space="preserve">Tag</w:t>
            </w:r>
          </w:p>
        </w:tc>
        <w:tc>
          <w:tcPr>
            <w:tcW w:type="dxa" w:w="800"/>
            <w:tcBorders>
              <w:top w:val="single" w:color="1B5E20" w:sz="8"/>
              <w:left w:val="single" w:color="BFBFBF" w:sz="4"/>
              <w:bottom w:val="single" w:color="1B5E20" w:sz="8"/>
              <w:right w:val="single" w:color="BFBFBF" w:sz="4"/>
            </w:tcBorders>
            <w:shd w:fill="1B5E20" w:color="auto" w:val="clear"/>
            <w:tcMar>
              <w:top w:type="dxa" w:w="100"/>
              <w:left w:type="dxa" w:w="140"/>
              <w:bottom w:type="dxa" w:w="100"/>
              <w:right w:type="dxa" w:w="140"/>
            </w:tcMar>
            <w:vAlign w:val="center"/>
          </w:tcPr>
          <w:p>
            <w:pPr>
              <w:jc w:val="center"/>
            </w:pPr>
            <w:r>
              <w:rPr>
                <w:b/>
                <w:bCs/>
                <w:color w:val="FFFFFF"/>
                <w:sz w:val="20"/>
                <w:szCs w:val="20"/>
              </w:rPr>
              <w:t xml:space="preserve">RCP</w:t>
            </w:r>
          </w:p>
        </w:tc>
        <w:tc>
          <w:tcPr>
            <w:tcW w:type="dxa" w:w="1700"/>
            <w:tcBorders>
              <w:top w:val="single" w:color="1B5E20" w:sz="8"/>
              <w:left w:val="single" w:color="BFBFBF" w:sz="4"/>
              <w:bottom w:val="single" w:color="1B5E20" w:sz="8"/>
              <w:right w:val="single" w:color="BFBFBF" w:sz="4"/>
            </w:tcBorders>
            <w:shd w:fill="1B5E20" w:color="auto" w:val="clear"/>
            <w:tcMar>
              <w:top w:type="dxa" w:w="100"/>
              <w:left w:type="dxa" w:w="140"/>
              <w:bottom w:type="dxa" w:w="100"/>
              <w:right w:type="dxa" w:w="140"/>
            </w:tcMar>
            <w:vAlign w:val="center"/>
          </w:tcPr>
          <w:p>
            <w:pPr>
              <w:jc w:val="center"/>
            </w:pPr>
            <w:r>
              <w:rPr>
                <w:b/>
                <w:bCs/>
                <w:color w:val="FFFFFF"/>
                <w:sz w:val="20"/>
                <w:szCs w:val="20"/>
              </w:rPr>
              <w:t xml:space="preserve">Pipeline</w:t>
            </w:r>
          </w:p>
        </w:tc>
        <w:tc>
          <w:tcPr>
            <w:tcW w:type="dxa" w:w="1300"/>
            <w:tcBorders>
              <w:top w:val="single" w:color="1B5E20" w:sz="8"/>
              <w:left w:val="single" w:color="BFBFBF" w:sz="4"/>
              <w:bottom w:val="single" w:color="1B5E20" w:sz="8"/>
              <w:right w:val="single" w:color="BFBFBF" w:sz="4"/>
            </w:tcBorders>
            <w:shd w:fill="1B5E20" w:color="auto" w:val="clear"/>
            <w:tcMar>
              <w:top w:type="dxa" w:w="100"/>
              <w:left w:type="dxa" w:w="140"/>
              <w:bottom w:type="dxa" w:w="100"/>
              <w:right w:type="dxa" w:w="140"/>
            </w:tcMar>
            <w:vAlign w:val="center"/>
          </w:tcPr>
          <w:p>
            <w:pPr>
              <w:jc w:val="center"/>
            </w:pPr>
            <w:r>
              <w:rPr>
                <w:b/>
                <w:bCs/>
                <w:color w:val="FFFFFF"/>
                <w:sz w:val="20"/>
                <w:szCs w:val="20"/>
              </w:rPr>
              <w:t xml:space="preserve">RMSE</w:t>
            </w:r>
          </w:p>
        </w:tc>
        <w:tc>
          <w:tcPr>
            <w:tcW w:type="dxa" w:w="1300"/>
            <w:tcBorders>
              <w:top w:val="single" w:color="1B5E20" w:sz="8"/>
              <w:left w:val="single" w:color="BFBFBF" w:sz="4"/>
              <w:bottom w:val="single" w:color="1B5E20" w:sz="8"/>
              <w:right w:val="single" w:color="BFBFBF" w:sz="4"/>
            </w:tcBorders>
            <w:shd w:fill="1B5E20" w:color="auto" w:val="clear"/>
            <w:tcMar>
              <w:top w:type="dxa" w:w="100"/>
              <w:left w:type="dxa" w:w="140"/>
              <w:bottom w:type="dxa" w:w="100"/>
              <w:right w:type="dxa" w:w="140"/>
            </w:tcMar>
            <w:vAlign w:val="center"/>
          </w:tcPr>
          <w:p>
            <w:pPr>
              <w:jc w:val="center"/>
            </w:pPr>
            <w:r>
              <w:rPr>
                <w:b/>
                <w:bCs/>
                <w:color w:val="FFFFFF"/>
                <w:sz w:val="20"/>
                <w:szCs w:val="20"/>
              </w:rPr>
              <w:t xml:space="preserve">Bias</w:t>
            </w:r>
          </w:p>
        </w:tc>
        <w:tc>
          <w:tcPr>
            <w:tcW w:type="dxa" w:w="1300"/>
            <w:tcBorders>
              <w:top w:val="single" w:color="1B5E20" w:sz="8"/>
              <w:left w:val="single" w:color="BFBFBF" w:sz="4"/>
              <w:bottom w:val="single" w:color="1B5E20" w:sz="8"/>
              <w:right w:val="single" w:color="BFBFBF" w:sz="4"/>
            </w:tcBorders>
            <w:shd w:fill="1B5E20" w:color="auto" w:val="clear"/>
            <w:tcMar>
              <w:top w:type="dxa" w:w="100"/>
              <w:left w:type="dxa" w:w="140"/>
              <w:bottom w:type="dxa" w:w="100"/>
              <w:right w:type="dxa" w:w="140"/>
            </w:tcMar>
            <w:vAlign w:val="center"/>
          </w:tcPr>
          <w:p>
            <w:pPr>
              <w:jc w:val="center"/>
            </w:pPr>
            <w:r>
              <w:rPr>
                <w:b/>
                <w:bCs/>
                <w:color w:val="FFFFFF"/>
                <w:sz w:val="20"/>
                <w:szCs w:val="20"/>
              </w:rPr>
              <w:t xml:space="preserve">MAE</w:t>
            </w:r>
          </w:p>
        </w:tc>
      </w:tr>
      <w:tr>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r17</w:t>
            </w:r>
          </w:p>
        </w:tc>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4.5</w:t>
            </w:r>
          </w:p>
        </w:tc>
        <w:tc>
          <w:tcPr>
            <w:tcW w:type="dxa" w:w="17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left"/>
            </w:pPr>
            <w:r>
              <w:rPr>
                <w:b w:val="false"/>
                <w:bCs w:val="false"/>
                <w:sz w:val="20"/>
                <w:szCs w:val="20"/>
              </w:rPr>
              <w:t xml:space="preserve">wear</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22.4</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-20.1</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20.1</w:t>
            </w:r>
          </w:p>
        </w:tc>
      </w:tr>
      <w:tr>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r17</w:t>
            </w:r>
          </w:p>
        </w:tc>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4.5</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wear+econ</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24.3</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-22.3</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22.3</w:t>
            </w:r>
          </w:p>
        </w:tc>
      </w:tr>
      <w:tr>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r17</w:t>
            </w:r>
          </w:p>
        </w:tc>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8.5</w:t>
            </w:r>
          </w:p>
        </w:tc>
        <w:tc>
          <w:tcPr>
            <w:tcW w:type="dxa" w:w="17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left"/>
            </w:pPr>
            <w:r>
              <w:rPr>
                <w:b w:val="false"/>
                <w:bCs w:val="false"/>
                <w:sz w:val="20"/>
                <w:szCs w:val="20"/>
              </w:rPr>
              <w:t xml:space="preserve">wear</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18.7</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-15.1</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15.1</w:t>
            </w:r>
          </w:p>
        </w:tc>
      </w:tr>
      <w:tr>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r17</w:t>
            </w:r>
          </w:p>
        </w:tc>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8.5</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wear+econ</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20.5</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-17.7</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17.7</w:t>
            </w:r>
          </w:p>
        </w:tc>
      </w:tr>
      <w:tr>
        <w:tc>
          <w:tcPr>
            <w:tcW w:type="dxa" w:w="8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r18</w:t>
            </w:r>
          </w:p>
        </w:tc>
        <w:tc>
          <w:tcPr>
            <w:tcW w:type="dxa" w:w="8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4.5</w:t>
            </w:r>
          </w:p>
        </w:tc>
        <w:tc>
          <w:tcPr>
            <w:tcW w:type="dxa" w:w="17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left"/>
            </w:pPr>
            <w:r>
              <w:rPr>
                <w:b w:val="false"/>
                <w:bCs w:val="false"/>
                <w:sz w:val="20"/>
                <w:szCs w:val="20"/>
              </w:rPr>
              <w:t xml:space="preserve">wear</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14.5</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-5.8</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12.5</w:t>
            </w:r>
          </w:p>
        </w:tc>
      </w:tr>
      <w:tr>
        <w:tc>
          <w:tcPr>
            <w:tcW w:type="dxa" w:w="8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r18</w:t>
            </w:r>
          </w:p>
        </w:tc>
        <w:tc>
          <w:tcPr>
            <w:tcW w:type="dxa" w:w="8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4.5</w:t>
            </w:r>
          </w:p>
        </w:tc>
        <w:tc>
          <w:tcPr>
            <w:tcW w:type="dxa" w:w="17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left"/>
            </w:pPr>
            <w:r>
              <w:rPr>
                <w:b w:val="false"/>
                <w:bCs w:val="false"/>
                <w:sz w:val="20"/>
                <w:szCs w:val="20"/>
              </w:rPr>
              <w:t xml:space="preserve">wear+econ</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14.8</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-7.2</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12.7</w:t>
            </w:r>
          </w:p>
        </w:tc>
      </w:tr>
      <w:tr>
        <w:tc>
          <w:tcPr>
            <w:tcW w:type="dxa" w:w="8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r18</w:t>
            </w:r>
          </w:p>
        </w:tc>
        <w:tc>
          <w:tcPr>
            <w:tcW w:type="dxa" w:w="8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8.5</w:t>
            </w:r>
          </w:p>
        </w:tc>
        <w:tc>
          <w:tcPr>
            <w:tcW w:type="dxa" w:w="17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left"/>
            </w:pPr>
            <w:r>
              <w:rPr>
                <w:b w:val="false"/>
                <w:bCs w:val="false"/>
                <w:sz w:val="20"/>
                <w:szCs w:val="20"/>
              </w:rPr>
              <w:t xml:space="preserve">wear</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15.4</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-0.1</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13.3</w:t>
            </w:r>
          </w:p>
        </w:tc>
      </w:tr>
      <w:tr>
        <w:tc>
          <w:tcPr>
            <w:tcW w:type="dxa" w:w="8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r18</w:t>
            </w:r>
          </w:p>
        </w:tc>
        <w:tc>
          <w:tcPr>
            <w:tcW w:type="dxa" w:w="8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8.5</w:t>
            </w:r>
          </w:p>
        </w:tc>
        <w:tc>
          <w:tcPr>
            <w:tcW w:type="dxa" w:w="17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left"/>
            </w:pPr>
            <w:r>
              <w:rPr>
                <w:b w:val="false"/>
                <w:bCs w:val="false"/>
                <w:sz w:val="20"/>
                <w:szCs w:val="20"/>
              </w:rPr>
              <w:t xml:space="preserve">wear+econ</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14.9</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-2.0</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12.4</w:t>
            </w:r>
          </w:p>
        </w:tc>
      </w:tr>
      <w:tr>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r19</w:t>
            </w:r>
          </w:p>
        </w:tc>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4.5</w:t>
            </w:r>
          </w:p>
        </w:tc>
        <w:tc>
          <w:tcPr>
            <w:tcW w:type="dxa" w:w="17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left"/>
            </w:pPr>
            <w:r>
              <w:rPr>
                <w:b w:val="false"/>
                <w:bCs w:val="false"/>
                <w:sz w:val="20"/>
                <w:szCs w:val="20"/>
              </w:rPr>
              <w:t xml:space="preserve">wear</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14.6</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-4.7</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12.6</w:t>
            </w:r>
          </w:p>
        </w:tc>
      </w:tr>
      <w:tr>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r19</w:t>
            </w:r>
          </w:p>
        </w:tc>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4.5</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wear+econ</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14.6</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-6.1</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12.6</w:t>
            </w:r>
          </w:p>
        </w:tc>
      </w:tr>
      <w:tr>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r19</w:t>
            </w:r>
          </w:p>
        </w:tc>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8.5</w:t>
            </w:r>
          </w:p>
        </w:tc>
        <w:tc>
          <w:tcPr>
            <w:tcW w:type="dxa" w:w="17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left"/>
            </w:pPr>
            <w:r>
              <w:rPr>
                <w:b w:val="false"/>
                <w:bCs w:val="false"/>
                <w:sz w:val="20"/>
                <w:szCs w:val="20"/>
              </w:rPr>
              <w:t xml:space="preserve">wear</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15.6</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+0.4</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13.6</w:t>
            </w:r>
          </w:p>
        </w:tc>
      </w:tr>
      <w:tr>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r19</w:t>
            </w:r>
          </w:p>
        </w:tc>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8.5</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wear+econ</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15.0</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-1.2</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12.7</w:t>
            </w:r>
          </w:p>
        </w:tc>
      </w:tr>
    </w:tbl>
    <w:p>
      <w:pPr>
        <w:spacing w:after="120"/>
      </w:pPr>
      <w:r>
        <w:t xml:space="preserve"/>
      </w:r>
    </w:p>
    <w:p>
      <w:pPr>
        <w:spacing w:after="120" w:before="0" w:line="280"/>
        <w:jc w:val="left"/>
      </w:pPr>
      <w:r>
        <w:rPr>
          <w:b w:val="false"/>
          <w:bCs w:val="false"/>
          <w:i/>
          <w:iCs/>
          <w:sz w:val="18"/>
          <w:szCs w:val="18"/>
        </w:rPr>
        <w:t xml:space="preserve">All entries computed across 5 evaluation years (2004, 2009, 2014, 2019, 2024). Highlighted rows are r18 (refined pipeline + R14 owner stratification). Mean across all four cells: r17 RMSE 21.5 MMT, bias −18.8 MMT; r18 RMSE 14.9 MMT, bias −3.8 MMT — a 31% RMSE reduction and 80% bias reduction.</w:t>
      </w:r>
    </w:p>
    <w:p>
      <w:pPr>
        <w:pStyle w:val="Heading2"/>
        <w:spacing w:after="140" w:before="280"/>
      </w:pPr>
      <w:r>
        <w:rPr>
          <w:b/>
          <w:bCs/>
          <w:color w:val="2E7D32"/>
          <w:sz w:val="26"/>
          <w:szCs w:val="26"/>
        </w:rPr>
        <w:t xml:space="preserve">Table 2. 2074 BAU AGC endpoints by RCP × pipeline × tag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700"/>
        <w:gridCol w:w="1300"/>
        <w:gridCol w:w="1300"/>
        <w:gridCol w:w="1300"/>
      </w:tblGrid>
      <w:tr>
        <w:trPr>
          <w:tblHeader/>
        </w:trPr>
        <w:tc>
          <w:tcPr>
            <w:tcW w:type="dxa" w:w="800"/>
            <w:tcBorders>
              <w:top w:val="single" w:color="1B5E20" w:sz="8"/>
              <w:left w:val="single" w:color="BFBFBF" w:sz="4"/>
              <w:bottom w:val="single" w:color="1B5E20" w:sz="8"/>
              <w:right w:val="single" w:color="BFBFBF" w:sz="4"/>
            </w:tcBorders>
            <w:shd w:fill="1B5E20" w:color="auto" w:val="clear"/>
            <w:tcMar>
              <w:top w:type="dxa" w:w="100"/>
              <w:left w:type="dxa" w:w="140"/>
              <w:bottom w:type="dxa" w:w="100"/>
              <w:right w:type="dxa" w:w="140"/>
            </w:tcMar>
            <w:vAlign w:val="center"/>
          </w:tcPr>
          <w:p>
            <w:pPr>
              <w:jc w:val="center"/>
            </w:pPr>
            <w:r>
              <w:rPr>
                <w:b/>
                <w:bCs/>
                <w:color w:val="FFFFFF"/>
                <w:sz w:val="20"/>
                <w:szCs w:val="20"/>
              </w:rPr>
              <w:t xml:space="preserve">Tag</w:t>
            </w:r>
          </w:p>
        </w:tc>
        <w:tc>
          <w:tcPr>
            <w:tcW w:type="dxa" w:w="800"/>
            <w:tcBorders>
              <w:top w:val="single" w:color="1B5E20" w:sz="8"/>
              <w:left w:val="single" w:color="BFBFBF" w:sz="4"/>
              <w:bottom w:val="single" w:color="1B5E20" w:sz="8"/>
              <w:right w:val="single" w:color="BFBFBF" w:sz="4"/>
            </w:tcBorders>
            <w:shd w:fill="1B5E20" w:color="auto" w:val="clear"/>
            <w:tcMar>
              <w:top w:type="dxa" w:w="100"/>
              <w:left w:type="dxa" w:w="140"/>
              <w:bottom w:type="dxa" w:w="100"/>
              <w:right w:type="dxa" w:w="140"/>
            </w:tcMar>
            <w:vAlign w:val="center"/>
          </w:tcPr>
          <w:p>
            <w:pPr>
              <w:jc w:val="center"/>
            </w:pPr>
            <w:r>
              <w:rPr>
                <w:b/>
                <w:bCs/>
                <w:color w:val="FFFFFF"/>
                <w:sz w:val="20"/>
                <w:szCs w:val="20"/>
              </w:rPr>
              <w:t xml:space="preserve">RCP</w:t>
            </w:r>
          </w:p>
        </w:tc>
        <w:tc>
          <w:tcPr>
            <w:tcW w:type="dxa" w:w="1700"/>
            <w:tcBorders>
              <w:top w:val="single" w:color="1B5E20" w:sz="8"/>
              <w:left w:val="single" w:color="BFBFBF" w:sz="4"/>
              <w:bottom w:val="single" w:color="1B5E20" w:sz="8"/>
              <w:right w:val="single" w:color="BFBFBF" w:sz="4"/>
            </w:tcBorders>
            <w:shd w:fill="1B5E20" w:color="auto" w:val="clear"/>
            <w:tcMar>
              <w:top w:type="dxa" w:w="100"/>
              <w:left w:type="dxa" w:w="140"/>
              <w:bottom w:type="dxa" w:w="100"/>
              <w:right w:type="dxa" w:w="140"/>
            </w:tcMar>
            <w:vAlign w:val="center"/>
          </w:tcPr>
          <w:p>
            <w:pPr>
              <w:jc w:val="center"/>
            </w:pPr>
            <w:r>
              <w:rPr>
                <w:b/>
                <w:bCs/>
                <w:color w:val="FFFFFF"/>
                <w:sz w:val="20"/>
                <w:szCs w:val="20"/>
              </w:rPr>
              <w:t xml:space="preserve">Pipeline</w:t>
            </w:r>
          </w:p>
        </w:tc>
        <w:tc>
          <w:tcPr>
            <w:tcW w:type="dxa" w:w="1300"/>
            <w:tcBorders>
              <w:top w:val="single" w:color="1B5E20" w:sz="8"/>
              <w:left w:val="single" w:color="BFBFBF" w:sz="4"/>
              <w:bottom w:val="single" w:color="1B5E20" w:sz="8"/>
              <w:right w:val="single" w:color="BFBFBF" w:sz="4"/>
            </w:tcBorders>
            <w:shd w:fill="1B5E20" w:color="auto" w:val="clear"/>
            <w:tcMar>
              <w:top w:type="dxa" w:w="100"/>
              <w:left w:type="dxa" w:w="140"/>
              <w:bottom w:type="dxa" w:w="100"/>
              <w:right w:type="dxa" w:w="140"/>
            </w:tcMar>
            <w:vAlign w:val="center"/>
          </w:tcPr>
          <w:p>
            <w:pPr>
              <w:jc w:val="center"/>
            </w:pPr>
            <w:r>
              <w:rPr>
                <w:b/>
                <w:bCs/>
                <w:color w:val="FFFFFF"/>
                <w:sz w:val="20"/>
                <w:szCs w:val="20"/>
              </w:rPr>
              <w:t xml:space="preserve">AGC 2004</w:t>
            </w:r>
          </w:p>
        </w:tc>
        <w:tc>
          <w:tcPr>
            <w:tcW w:type="dxa" w:w="1300"/>
            <w:tcBorders>
              <w:top w:val="single" w:color="1B5E20" w:sz="8"/>
              <w:left w:val="single" w:color="BFBFBF" w:sz="4"/>
              <w:bottom w:val="single" w:color="1B5E20" w:sz="8"/>
              <w:right w:val="single" w:color="BFBFBF" w:sz="4"/>
            </w:tcBorders>
            <w:shd w:fill="1B5E20" w:color="auto" w:val="clear"/>
            <w:tcMar>
              <w:top w:type="dxa" w:w="100"/>
              <w:left w:type="dxa" w:w="140"/>
              <w:bottom w:type="dxa" w:w="100"/>
              <w:right w:type="dxa" w:w="140"/>
            </w:tcMar>
            <w:vAlign w:val="center"/>
          </w:tcPr>
          <w:p>
            <w:pPr>
              <w:jc w:val="center"/>
            </w:pPr>
            <w:r>
              <w:rPr>
                <w:b/>
                <w:bCs/>
                <w:color w:val="FFFFFF"/>
                <w:sz w:val="20"/>
                <w:szCs w:val="20"/>
              </w:rPr>
              <w:t xml:space="preserve">AGC 2074</w:t>
            </w:r>
          </w:p>
        </w:tc>
        <w:tc>
          <w:tcPr>
            <w:tcW w:type="dxa" w:w="1300"/>
            <w:tcBorders>
              <w:top w:val="single" w:color="1B5E20" w:sz="8"/>
              <w:left w:val="single" w:color="BFBFBF" w:sz="4"/>
              <w:bottom w:val="single" w:color="1B5E20" w:sz="8"/>
              <w:right w:val="single" w:color="BFBFBF" w:sz="4"/>
            </w:tcBorders>
            <w:shd w:fill="1B5E20" w:color="auto" w:val="clear"/>
            <w:tcMar>
              <w:top w:type="dxa" w:w="100"/>
              <w:left w:type="dxa" w:w="140"/>
              <w:bottom w:type="dxa" w:w="100"/>
              <w:right w:type="dxa" w:w="140"/>
            </w:tcMar>
            <w:vAlign w:val="center"/>
          </w:tcPr>
          <w:p>
            <w:pPr>
              <w:jc w:val="center"/>
            </w:pPr>
            <w:r>
              <w:rPr>
                <w:b/>
                <w:bCs/>
                <w:color w:val="FFFFFF"/>
                <w:sz w:val="20"/>
                <w:szCs w:val="20"/>
              </w:rPr>
              <w:t xml:space="preserve">Δ MMT/yr</w:t>
            </w:r>
          </w:p>
        </w:tc>
      </w:tr>
      <w:tr>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r17</w:t>
            </w:r>
          </w:p>
        </w:tc>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4.5</w:t>
            </w:r>
          </w:p>
        </w:tc>
        <w:tc>
          <w:tcPr>
            <w:tcW w:type="dxa" w:w="17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left"/>
            </w:pPr>
            <w:r>
              <w:rPr>
                <w:b w:val="false"/>
                <w:bCs w:val="false"/>
                <w:sz w:val="20"/>
                <w:szCs w:val="20"/>
              </w:rPr>
              <w:t xml:space="preserve">wear</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231.4</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35.9</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-2.79</w:t>
            </w:r>
          </w:p>
        </w:tc>
      </w:tr>
      <w:tr>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r17</w:t>
            </w:r>
          </w:p>
        </w:tc>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4.5</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wear+econ</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230.8</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29.8</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-2.87</w:t>
            </w:r>
          </w:p>
        </w:tc>
      </w:tr>
      <w:tr>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r17</w:t>
            </w:r>
          </w:p>
        </w:tc>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8.5</w:t>
            </w:r>
          </w:p>
        </w:tc>
        <w:tc>
          <w:tcPr>
            <w:tcW w:type="dxa" w:w="17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left"/>
            </w:pPr>
            <w:r>
              <w:rPr>
                <w:b w:val="false"/>
                <w:bCs w:val="false"/>
                <w:sz w:val="20"/>
                <w:szCs w:val="20"/>
              </w:rPr>
              <w:t xml:space="preserve">wear</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232.8</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43.4</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-2.71</w:t>
            </w:r>
          </w:p>
        </w:tc>
      </w:tr>
      <w:tr>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r17</w:t>
            </w:r>
          </w:p>
        </w:tc>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8.5</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wear+econ</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232.1</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35.6</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-2.81</w:t>
            </w:r>
          </w:p>
        </w:tc>
      </w:tr>
      <w:tr>
        <w:tc>
          <w:tcPr>
            <w:tcW w:type="dxa" w:w="8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r18</w:t>
            </w:r>
          </w:p>
        </w:tc>
        <w:tc>
          <w:tcPr>
            <w:tcW w:type="dxa" w:w="8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4.5</w:t>
            </w:r>
          </w:p>
        </w:tc>
        <w:tc>
          <w:tcPr>
            <w:tcW w:type="dxa" w:w="17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left"/>
            </w:pPr>
            <w:r>
              <w:rPr>
                <w:b w:val="false"/>
                <w:bCs w:val="false"/>
                <w:sz w:val="20"/>
                <w:szCs w:val="20"/>
              </w:rPr>
              <w:t xml:space="preserve">wear</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237.0</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48.7</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-2.69</w:t>
            </w:r>
          </w:p>
        </w:tc>
      </w:tr>
      <w:tr>
        <w:tc>
          <w:tcPr>
            <w:tcW w:type="dxa" w:w="8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r18</w:t>
            </w:r>
          </w:p>
        </w:tc>
        <w:tc>
          <w:tcPr>
            <w:tcW w:type="dxa" w:w="8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4.5</w:t>
            </w:r>
          </w:p>
        </w:tc>
        <w:tc>
          <w:tcPr>
            <w:tcW w:type="dxa" w:w="17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left"/>
            </w:pPr>
            <w:r>
              <w:rPr>
                <w:b w:val="false"/>
                <w:bCs w:val="false"/>
                <w:sz w:val="20"/>
                <w:szCs w:val="20"/>
              </w:rPr>
              <w:t xml:space="preserve">wear+econ</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236.4</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44.3</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-2.74</w:t>
            </w:r>
          </w:p>
        </w:tc>
      </w:tr>
      <w:tr>
        <w:tc>
          <w:tcPr>
            <w:tcW w:type="dxa" w:w="8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r18</w:t>
            </w:r>
          </w:p>
        </w:tc>
        <w:tc>
          <w:tcPr>
            <w:tcW w:type="dxa" w:w="8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8.5</w:t>
            </w:r>
          </w:p>
        </w:tc>
        <w:tc>
          <w:tcPr>
            <w:tcW w:type="dxa" w:w="17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left"/>
            </w:pPr>
            <w:r>
              <w:rPr>
                <w:b w:val="false"/>
                <w:bCs w:val="false"/>
                <w:sz w:val="20"/>
                <w:szCs w:val="20"/>
              </w:rPr>
              <w:t xml:space="preserve">wear</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238.3</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58.6</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-2.57</w:t>
            </w:r>
          </w:p>
        </w:tc>
      </w:tr>
      <w:tr>
        <w:tc>
          <w:tcPr>
            <w:tcW w:type="dxa" w:w="8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r18</w:t>
            </w:r>
          </w:p>
        </w:tc>
        <w:tc>
          <w:tcPr>
            <w:tcW w:type="dxa" w:w="8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8.5</w:t>
            </w:r>
          </w:p>
        </w:tc>
        <w:tc>
          <w:tcPr>
            <w:tcW w:type="dxa" w:w="17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left"/>
            </w:pPr>
            <w:r>
              <w:rPr>
                <w:b w:val="false"/>
                <w:bCs w:val="false"/>
                <w:sz w:val="20"/>
                <w:szCs w:val="20"/>
              </w:rPr>
              <w:t xml:space="preserve">wear+econ</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237.8</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52.4</w:t>
            </w:r>
          </w:p>
        </w:tc>
        <w:tc>
          <w:tcPr>
            <w:tcW w:type="dxa" w:w="13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val="false"/>
                <w:bCs w:val="false"/>
                <w:sz w:val="20"/>
                <w:szCs w:val="20"/>
              </w:rPr>
              <w:t xml:space="preserve">-2.65</w:t>
            </w:r>
          </w:p>
        </w:tc>
      </w:tr>
      <w:tr>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r19</w:t>
            </w:r>
          </w:p>
        </w:tc>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4.5</w:t>
            </w:r>
          </w:p>
        </w:tc>
        <w:tc>
          <w:tcPr>
            <w:tcW w:type="dxa" w:w="17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left"/>
            </w:pPr>
            <w:r>
              <w:rPr>
                <w:b w:val="false"/>
                <w:bCs w:val="false"/>
                <w:sz w:val="20"/>
                <w:szCs w:val="20"/>
              </w:rPr>
              <w:t xml:space="preserve">wear</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237.1</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49.3</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-2.68</w:t>
            </w:r>
          </w:p>
        </w:tc>
      </w:tr>
      <w:tr>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r19</w:t>
            </w:r>
          </w:p>
        </w:tc>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4.5</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wear+econ</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236.8</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46.1</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-2.72</w:t>
            </w:r>
          </w:p>
        </w:tc>
      </w:tr>
      <w:tr>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r19</w:t>
            </w:r>
          </w:p>
        </w:tc>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8.5</w:t>
            </w:r>
          </w:p>
        </w:tc>
        <w:tc>
          <w:tcPr>
            <w:tcW w:type="dxa" w:w="17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left"/>
            </w:pPr>
            <w:r>
              <w:rPr>
                <w:b w:val="false"/>
                <w:bCs w:val="false"/>
                <w:sz w:val="20"/>
                <w:szCs w:val="20"/>
              </w:rPr>
              <w:t xml:space="preserve">wear</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238.5</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59.3</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-2.56</w:t>
            </w:r>
          </w:p>
        </w:tc>
      </w:tr>
      <w:tr>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r19</w:t>
            </w:r>
          </w:p>
        </w:tc>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8.5</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wear+econ</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238.1</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55.4</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-2.61</w:t>
            </w:r>
          </w:p>
        </w:tc>
      </w:tr>
      <w:tr>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r20</w:t>
            </w:r>
          </w:p>
        </w:tc>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4.5</w:t>
            </w:r>
          </w:p>
        </w:tc>
        <w:tc>
          <w:tcPr>
            <w:tcW w:type="dxa" w:w="17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left"/>
            </w:pPr>
            <w:r>
              <w:rPr>
                <w:b w:val="false"/>
                <w:bCs w:val="false"/>
                <w:sz w:val="20"/>
                <w:szCs w:val="20"/>
              </w:rPr>
              <w:t xml:space="preserve">wear</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234.9</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46.1</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-2.70</w:t>
            </w:r>
          </w:p>
        </w:tc>
      </w:tr>
      <w:tr>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r20</w:t>
            </w:r>
          </w:p>
        </w:tc>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4.5</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wear+econ</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234.4</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41.4</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-2.76</w:t>
            </w:r>
          </w:p>
        </w:tc>
      </w:tr>
      <w:tr>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r20</w:t>
            </w:r>
          </w:p>
        </w:tc>
        <w:tc>
          <w:tcPr>
            <w:tcW w:type="dxa" w:w="8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8.5</w:t>
            </w:r>
          </w:p>
        </w:tc>
        <w:tc>
          <w:tcPr>
            <w:tcW w:type="dxa" w:w="17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left"/>
            </w:pPr>
            <w:r>
              <w:rPr>
                <w:b w:val="false"/>
                <w:bCs w:val="false"/>
                <w:sz w:val="20"/>
                <w:szCs w:val="20"/>
              </w:rPr>
              <w:t xml:space="preserve">wear</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236.2</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56.0</w:t>
            </w:r>
          </w:p>
        </w:tc>
        <w:tc>
          <w:tcPr>
            <w:tcW w:type="dxa" w:w="13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-2.57</w:t>
            </w:r>
          </w:p>
        </w:tc>
      </w:tr>
      <w:tr>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r20</w:t>
            </w:r>
          </w:p>
        </w:tc>
        <w:tc>
          <w:tcPr>
            <w:tcW w:type="dxa" w:w="8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8.5</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wear+econ</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235.7</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49.4</w:t>
            </w:r>
          </w:p>
        </w:tc>
        <w:tc>
          <w:tcPr>
            <w:tcW w:type="dxa" w:w="13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-2.66</w:t>
            </w:r>
          </w:p>
        </w:tc>
      </w:tr>
    </w:tbl>
    <w:p>
      <w:pPr>
        <w:spacing w:after="120"/>
      </w:pPr>
      <w:r>
        <w:t xml:space="preserve"/>
      </w:r>
    </w:p>
    <w:p>
      <w:pPr>
        <w:spacing w:after="120" w:before="0" w:line="280"/>
        <w:jc w:val="left"/>
      </w:pPr>
      <w:r>
        <w:rPr>
          <w:b w:val="false"/>
          <w:bCs w:val="false"/>
          <w:i/>
          <w:iCs/>
          <w:sz w:val="18"/>
          <w:szCs w:val="18"/>
        </w:rPr>
        <w:t xml:space="preserve">2004 baseline AGC ranges 231–238 MMT. Subject-matched observed 2004 = 268 MMT (the −31 to −37 MMT undershoot is the projection-vs-inventory definitional mismatch, not model error). 2074 BAU endpoints 30–59 MMT. r18/r19 retain 13–17 MMT more than r17; r20 mass-balanced retains 10 MMT (≈80% of the r18 effect).</w:t>
      </w:r>
    </w:p>
    <w:p>
      <w:r>
        <w:br w:type="page"/>
      </w:r>
    </w:p>
    <w:p>
      <w:pPr>
        <w:pStyle w:val="Heading2"/>
        <w:spacing w:after="140" w:before="280"/>
      </w:pPr>
      <w:r>
        <w:rPr>
          <w:b/>
          <w:bCs/>
          <w:color w:val="2E7D32"/>
          <w:sz w:val="26"/>
          <w:szCs w:val="26"/>
        </w:rPr>
        <w:t xml:space="preserve">Table 3. R14 effect decomposition (r17 → r18 → r19 → r20)</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2200"/>
      </w:tblGrid>
      <w:tr>
        <w:trPr>
          <w:tblHeader/>
        </w:trPr>
        <w:tc>
          <w:tcPr>
            <w:tcW w:type="dxa" w:w="3000"/>
            <w:tcBorders>
              <w:top w:val="single" w:color="1B5E20" w:sz="8"/>
              <w:left w:val="single" w:color="BFBFBF" w:sz="4"/>
              <w:bottom w:val="single" w:color="1B5E20" w:sz="8"/>
              <w:right w:val="single" w:color="BFBFBF" w:sz="4"/>
            </w:tcBorders>
            <w:shd w:fill="1B5E20" w:color="auto" w:val="clear"/>
            <w:tcMar>
              <w:top w:type="dxa" w:w="100"/>
              <w:left w:type="dxa" w:w="140"/>
              <w:bottom w:type="dxa" w:w="100"/>
              <w:right w:type="dxa" w:w="140"/>
            </w:tcMar>
            <w:vAlign w:val="center"/>
          </w:tcPr>
          <w:p>
            <w:pPr>
              <w:jc w:val="center"/>
            </w:pPr>
            <w:r>
              <w:rPr>
                <w:b/>
                <w:bCs/>
                <w:color w:val="FFFFFF"/>
                <w:sz w:val="20"/>
                <w:szCs w:val="20"/>
              </w:rPr>
              <w:t xml:space="preserve">Effect</w:t>
            </w:r>
          </w:p>
        </w:tc>
        <w:tc>
          <w:tcPr>
            <w:tcW w:type="dxa" w:w="1500"/>
            <w:tcBorders>
              <w:top w:val="single" w:color="1B5E20" w:sz="8"/>
              <w:left w:val="single" w:color="BFBFBF" w:sz="4"/>
              <w:bottom w:val="single" w:color="1B5E20" w:sz="8"/>
              <w:right w:val="single" w:color="BFBFBF" w:sz="4"/>
            </w:tcBorders>
            <w:shd w:fill="1B5E20" w:color="auto" w:val="clear"/>
            <w:tcMar>
              <w:top w:type="dxa" w:w="100"/>
              <w:left w:type="dxa" w:w="140"/>
              <w:bottom w:type="dxa" w:w="100"/>
              <w:right w:type="dxa" w:w="140"/>
            </w:tcMar>
            <w:vAlign w:val="center"/>
          </w:tcPr>
          <w:p>
            <w:pPr>
              <w:jc w:val="center"/>
            </w:pPr>
            <w:r>
              <w:rPr>
                <w:b/>
                <w:bCs/>
                <w:color w:val="FFFFFF"/>
                <w:sz w:val="20"/>
                <w:szCs w:val="20"/>
              </w:rPr>
              <w:t xml:space="preserve">Δ MMT (2074)</w:t>
            </w:r>
          </w:p>
        </w:tc>
        <w:tc>
          <w:tcPr>
            <w:tcW w:type="dxa" w:w="1500"/>
            <w:tcBorders>
              <w:top w:val="single" w:color="1B5E20" w:sz="8"/>
              <w:left w:val="single" w:color="BFBFBF" w:sz="4"/>
              <w:bottom w:val="single" w:color="1B5E20" w:sz="8"/>
              <w:right w:val="single" w:color="BFBFBF" w:sz="4"/>
            </w:tcBorders>
            <w:shd w:fill="1B5E20" w:color="auto" w:val="clear"/>
            <w:tcMar>
              <w:top w:type="dxa" w:w="100"/>
              <w:left w:type="dxa" w:w="140"/>
              <w:bottom w:type="dxa" w:w="100"/>
              <w:right w:type="dxa" w:w="140"/>
            </w:tcMar>
            <w:vAlign w:val="center"/>
          </w:tcPr>
          <w:p>
            <w:pPr>
              <w:jc w:val="center"/>
            </w:pPr>
            <w:r>
              <w:rPr>
                <w:b/>
                <w:bCs/>
                <w:color w:val="FFFFFF"/>
                <w:sz w:val="20"/>
                <w:szCs w:val="20"/>
              </w:rPr>
              <w:t xml:space="preserve">Fraction</w:t>
            </w:r>
          </w:p>
        </w:tc>
        <w:tc>
          <w:tcPr>
            <w:tcW w:type="dxa" w:w="2200"/>
            <w:tcBorders>
              <w:top w:val="single" w:color="1B5E20" w:sz="8"/>
              <w:left w:val="single" w:color="BFBFBF" w:sz="4"/>
              <w:bottom w:val="single" w:color="1B5E20" w:sz="8"/>
              <w:right w:val="single" w:color="BFBFBF" w:sz="4"/>
            </w:tcBorders>
            <w:shd w:fill="1B5E20" w:color="auto" w:val="clear"/>
            <w:tcMar>
              <w:top w:type="dxa" w:w="100"/>
              <w:left w:type="dxa" w:w="140"/>
              <w:bottom w:type="dxa" w:w="100"/>
              <w:right w:type="dxa" w:w="140"/>
            </w:tcMar>
            <w:vAlign w:val="center"/>
          </w:tcPr>
          <w:p>
            <w:pPr>
              <w:jc w:val="center"/>
            </w:pPr>
            <w:r>
              <w:rPr>
                <w:b/>
                <w:bCs/>
                <w:color w:val="FFFFFF"/>
                <w:sz w:val="20"/>
                <w:szCs w:val="20"/>
              </w:rPr>
              <w:t xml:space="preserve">Interpretation</w:t>
            </w:r>
          </w:p>
        </w:tc>
      </w:tr>
      <w:tr>
        <w:tc>
          <w:tcPr>
            <w:tcW w:type="dxa" w:w="30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left"/>
            </w:pPr>
            <w:r>
              <w:rPr>
                <w:b/>
                <w:bCs/>
                <w:sz w:val="20"/>
                <w:szCs w:val="20"/>
              </w:rPr>
              <w:t xml:space="preserve">Total R14 (r18 − r17)</w:t>
            </w:r>
          </w:p>
        </w:tc>
        <w:tc>
          <w:tcPr>
            <w:tcW w:type="dxa" w:w="15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bCs/>
                <w:sz w:val="20"/>
                <w:szCs w:val="20"/>
              </w:rPr>
              <w:t xml:space="preserve">+12.8</w:t>
            </w:r>
          </w:p>
        </w:tc>
        <w:tc>
          <w:tcPr>
            <w:tcW w:type="dxa" w:w="15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bCs/>
                <w:sz w:val="20"/>
                <w:szCs w:val="20"/>
              </w:rPr>
              <w:t xml:space="preserve">100%</w:t>
            </w:r>
          </w:p>
        </w:tc>
        <w:tc>
          <w:tcPr>
            <w:tcW w:type="dxa" w:w="22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left"/>
            </w:pPr>
            <w:r>
              <w:rPr>
                <w:b w:val="false"/>
                <w:bCs w:val="false"/>
                <w:sz w:val="20"/>
                <w:szCs w:val="20"/>
              </w:rPr>
              <w:t xml:space="preserve">owner stratification, calibrated</w:t>
            </w:r>
          </w:p>
        </w:tc>
      </w:tr>
      <w:tr>
        <w:tc>
          <w:tcPr>
            <w:tcW w:type="dxa" w:w="30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left"/>
            </w:pPr>
            <w:r>
              <w:rPr>
                <w:b w:val="false"/>
                <w:bCs w:val="false"/>
                <w:sz w:val="20"/>
                <w:szCs w:val="20"/>
              </w:rPr>
              <w:t xml:space="preserve">  Spatial alone (r20 − r17)</w:t>
            </w:r>
          </w:p>
        </w:tc>
        <w:tc>
          <w:tcPr>
            <w:tcW w:type="dxa" w:w="15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+10.2</w:t>
            </w:r>
          </w:p>
        </w:tc>
        <w:tc>
          <w:tcPr>
            <w:tcW w:type="dxa" w:w="15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center"/>
            </w:pPr>
            <w:r>
              <w:rPr>
                <w:b/>
                <w:bCs/>
                <w:sz w:val="20"/>
                <w:szCs w:val="20"/>
              </w:rPr>
              <w:t xml:space="preserve">80%</w:t>
            </w:r>
          </w:p>
        </w:tc>
        <w:tc>
          <w:tcPr>
            <w:tcW w:type="dxa" w:w="2200"/>
            <w:tcBorders>
              <w:top w:val="single" w:color="BFBFBF" w:sz="4"/>
              <w:left w:val="single" w:color="BFBFBF" w:sz="4"/>
              <w:bottom w:val="single" w:color="BFBFBF" w:sz="4"/>
              <w:right w:val="single" w:color="BFBFBF" w:sz="4"/>
            </w:tcBorders>
            <w:shd w:fill="FFF9C4" w:color="auto" w:val="clear"/>
            <w:tcMar>
              <w:top w:type="dxa" w:w="90"/>
              <w:left w:type="dxa" w:w="140"/>
              <w:bottom w:type="dxa" w:w="90"/>
              <w:right w:type="dxa" w:w="140"/>
            </w:tcMar>
            <w:vAlign w:val="center"/>
          </w:tcPr>
          <w:p>
            <w:pPr>
              <w:jc w:val="left"/>
            </w:pPr>
            <w:r>
              <w:rPr>
                <w:b w:val="false"/>
                <w:bCs w:val="false"/>
                <w:i w:val="false"/>
                <w:iCs w:val="false"/>
                <w:sz w:val="22"/>
                <w:szCs w:val="22"/>
              </w:rPr>
              <w:t xml:space="preserve">sending harvest to industrial counties, away from NIPF</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  Net rate alone (r18 − r20)</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+2.6</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center"/>
            </w:pPr>
            <w:r>
              <w:rPr>
                <w:b w:val="false"/>
                <w:bCs w:val="false"/>
                <w:sz w:val="20"/>
                <w:szCs w:val="20"/>
              </w:rPr>
              <w:t xml:space="preserve">20%</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center"/>
          </w:tcPr>
          <w:p>
            <w:pPr>
              <w:jc w:val="left"/>
            </w:pPr>
            <w:r>
              <w:rPr>
                <w:b w:val="false"/>
                <w:bCs w:val="false"/>
                <w:sz w:val="20"/>
                <w:szCs w:val="20"/>
              </w:rPr>
              <w:t xml:space="preserve">statewide harvest reduced 19% by NIPF dominance</w:t>
            </w:r>
          </w:p>
        </w:tc>
      </w:tr>
      <w:tr>
        <w:tc>
          <w:tcPr>
            <w:tcW w:type="dxa" w:w="30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left"/>
            </w:pPr>
            <w:r>
              <w:rPr>
                <w:b w:val="false"/>
                <w:bCs w:val="false"/>
                <w:sz w:val="20"/>
                <w:szCs w:val="20"/>
              </w:rPr>
              <w:t xml:space="preserve">R12 county refinement (r19 − r18)</w:t>
            </w:r>
          </w:p>
        </w:tc>
        <w:tc>
          <w:tcPr>
            <w:tcW w:type="dxa" w:w="15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+0.6</w:t>
            </w:r>
          </w:p>
        </w:tc>
        <w:tc>
          <w:tcPr>
            <w:tcW w:type="dxa" w:w="15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center"/>
            </w:pPr>
            <w:r>
              <w:rPr>
                <w:b w:val="false"/>
                <w:bCs w:val="false"/>
                <w:sz w:val="20"/>
                <w:szCs w:val="20"/>
              </w:rPr>
              <w:t xml:space="preserve">—</w:t>
            </w:r>
          </w:p>
        </w:tc>
        <w:tc>
          <w:tcPr>
            <w:tcW w:type="dxa" w:w="2200"/>
            <w:tcBorders>
              <w:top w:val="single" w:color="BFBFBF" w:sz="4"/>
              <w:left w:val="single" w:color="BFBFBF" w:sz="4"/>
              <w:bottom w:val="single" w:color="BFBFBF" w:sz="4"/>
              <w:right w:val="single" w:color="BFBFBF" w:sz="4"/>
            </w:tcBorders>
            <w:shd w:fill="F1F8E9" w:color="auto" w:val="clear"/>
            <w:tcMar>
              <w:top w:type="dxa" w:w="90"/>
              <w:left w:type="dxa" w:w="140"/>
              <w:bottom w:type="dxa" w:w="90"/>
              <w:right w:type="dxa" w:w="140"/>
            </w:tcMar>
            <w:vAlign w:val="center"/>
          </w:tcPr>
          <w:p>
            <w:pPr>
              <w:jc w:val="left"/>
            </w:pPr>
            <w:r>
              <w:rPr>
                <w:b w:val="false"/>
                <w:bCs w:val="false"/>
                <w:sz w:val="20"/>
                <w:szCs w:val="20"/>
              </w:rPr>
              <w:t xml:space="preserve">small marginal once R14 is in place</w:t>
            </w:r>
          </w:p>
        </w:tc>
      </w:tr>
    </w:tbl>
    <w:p>
      <w:pPr>
        <w:spacing w:after="120"/>
      </w:pPr>
      <w:r>
        <w:t xml:space="preserve"/>
      </w:r>
    </w:p>
    <w:p>
      <w:pPr>
        <w:spacing w:after="120" w:before="0" w:line="280"/>
        <w:jc w:val="left"/>
      </w:pPr>
      <w:r>
        <w:rPr>
          <w:b w:val="false"/>
          <w:bCs w:val="false"/>
          <w:i/>
          <w:iCs/>
          <w:sz w:val="18"/>
          <w:szCs w:val="18"/>
        </w:rPr>
        <w:t xml:space="preserve">Mass-balanced rescale (r20) divides all owner-class multipliers by their forest-area-weighted mean (0.811), preserving statewide harvest while keeping the relative spatial pattern. The dominance of the spatial term means owner-targeted policy levers (BPL practice, conservation easements, Farm Bill payments to NIPF) act on the right dimension even at constant total harvest.</w:t>
      </w:r>
    </w:p>
    <w:p>
      <w:pPr>
        <w:pStyle w:val="Heading2"/>
        <w:spacing w:after="140" w:before="280"/>
      </w:pPr>
      <w:r>
        <w:rPr>
          <w:b/>
          <w:bCs/>
          <w:color w:val="2E7D32"/>
          <w:sz w:val="26"/>
          <w:szCs w:val="26"/>
        </w:rPr>
        <w:t xml:space="preserve">Figure 4. Refinement progression r11 → r19</w:t>
      </w:r>
    </w:p>
    <w:p>
      <w:pPr>
        <w:jc w:val="center"/>
      </w:pPr>
      <w:r>
        <w:drawing>
          <wp:inline distT="0" distB="0" distL="0" distR="0">
            <wp:extent cx="6096000" cy="3619500"/>
            <wp:effectExtent t="0" r="0" b="0" l="0"/>
            <wp:docPr id="1" name="fig_progression_rcp45_png" descr="fig_progression_rcp45.png" title="fig_progression_rcp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619500"/>
                    </a:xfrm>
                    <a:prstGeom prst="rect">
                      <a:avLst/>
                    </a:prstGeom>
                  </pic:spPr>
                </pic:pic>
              </a:graphicData>
            </a:graphic>
          </wp:inline>
        </w:drawing>
      </w:r>
    </w:p>
    <w:p>
      <w:pPr>
        <w:spacing w:after="200" w:before="0" w:line="280"/>
        <w:jc w:val="center"/>
      </w:pPr>
      <w:r>
        <w:rPr>
          <w:b w:val="false"/>
          <w:bCs w:val="false"/>
          <w:i/>
          <w:iCs/>
          <w:sz w:val="18"/>
          <w:szCs w:val="18"/>
        </w:rPr>
        <w:t xml:space="preserve">Eight refinement layers; r17 (cyan) is the canonical refined-pipeline baseline; r18 (pink) and r19 (purple) add owner stratification and county offset respectively. Calibration anchor at 268 MMT (subject-matched observed).</w:t>
      </w:r>
    </w:p>
    <w:p>
      <w:pPr>
        <w:pStyle w:val="Heading2"/>
        <w:spacing w:after="140" w:before="280"/>
      </w:pPr>
      <w:r>
        <w:rPr>
          <w:b/>
          <w:bCs/>
          <w:color w:val="2E7D32"/>
          <w:sz w:val="26"/>
          <w:szCs w:val="26"/>
        </w:rPr>
        <w:t xml:space="preserve">Figure 5. Maine forest ownership distribution</w:t>
      </w:r>
    </w:p>
    <w:p>
      <w:pPr>
        <w:jc w:val="center"/>
      </w:pPr>
      <w:r>
        <w:drawing>
          <wp:inline distT="0" distB="0" distL="0" distR="0">
            <wp:extent cx="6096000" cy="4476750"/>
            <wp:effectExtent t="0" r="0" b="0" l="0"/>
            <wp:docPr id="1" name="fig_maine_ownership_pie_by_county_png" descr="fig_maine_ownership_pie_by_county.png" title="fig_maine_ownership_pie_by_coun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476750"/>
                    </a:xfrm>
                    <a:prstGeom prst="rect">
                      <a:avLst/>
                    </a:prstGeom>
                  </pic:spPr>
                </pic:pic>
              </a:graphicData>
            </a:graphic>
          </wp:inline>
        </w:drawing>
      </w:r>
    </w:p>
    <w:p>
      <w:pPr>
        <w:spacing w:after="200" w:before="0" w:line="280"/>
        <w:jc w:val="center"/>
      </w:pPr>
      <w:r>
        <w:rPr>
          <w:b w:val="false"/>
          <w:bCs w:val="false"/>
          <w:i/>
          <w:iCs/>
          <w:sz w:val="18"/>
          <w:szCs w:val="18"/>
        </w:rPr>
        <w:t xml:space="preserve">16-county pies showing the gradient from industrial-dominated north (Aroostook 47% Class 4, Piscataquis 44%) to NIPF-dominated south (Knox, Lincoln, Sagadahoc all &gt;80% NIPF).</w:t>
      </w:r>
    </w:p>
    <w:p>
      <w:r>
        <w:br w:type="page"/>
      </w:r>
    </w:p>
    <w:p>
      <w:pPr>
        <w:pStyle w:val="Heading2"/>
        <w:spacing w:after="140" w:before="280"/>
      </w:pPr>
      <w:r>
        <w:rPr>
          <w:b/>
          <w:bCs/>
          <w:color w:val="2E7D32"/>
          <w:sz w:val="26"/>
          <w:szCs w:val="26"/>
        </w:rPr>
        <w:t xml:space="preserve">Pipeline progression and r-tag history</w:t>
      </w:r>
    </w:p>
    <w:p>
      <w:pPr>
        <w:spacing w:after="30" w:before="0" w:line="280"/>
        <w:jc w:val="left"/>
      </w:pPr>
      <w:r>
        <w:rPr>
          <w:b/>
          <w:bCs/>
          <w:i w:val="false"/>
          <w:iCs w:val="false"/>
          <w:sz w:val="22"/>
          <w:szCs w:val="22"/>
        </w:rPr>
        <w:t xml:space="preserve">r6 </w:t>
      </w:r>
      <w:r>
        <w:rPr>
          <w:b w:val="false"/>
          <w:bCs w:val="false"/>
          <w:i w:val="false"/>
          <w:iCs w:val="false"/>
          <w:sz w:val="22"/>
          <w:szCs w:val="22"/>
        </w:rPr>
        <w:t xml:space="preserve">— Wear 2019 age saturation, multi-pool C (baseline)</w:t>
      </w:r>
    </w:p>
    <w:p>
      <w:pPr>
        <w:spacing w:after="30" w:before="0" w:line="280"/>
        <w:jc w:val="left"/>
      </w:pPr>
      <w:r>
        <w:rPr>
          <w:b/>
          <w:bCs/>
          <w:i w:val="false"/>
          <w:iCs w:val="false"/>
          <w:sz w:val="22"/>
          <w:szCs w:val="22"/>
        </w:rPr>
        <w:t xml:space="preserve">r11 </w:t>
      </w:r>
      <w:r>
        <w:rPr>
          <w:b w:val="false"/>
          <w:bCs w:val="false"/>
          <w:i w:val="false"/>
          <w:iCs w:val="false"/>
          <w:sz w:val="22"/>
          <w:szCs w:val="22"/>
        </w:rPr>
        <w:t xml:space="preserve">— scenario_Q via fixed_harvest_rate × Q (manuscript-headline at submission)</w:t>
      </w:r>
    </w:p>
    <w:p>
      <w:pPr>
        <w:spacing w:after="30" w:before="0" w:line="280"/>
        <w:jc w:val="left"/>
      </w:pPr>
      <w:r>
        <w:rPr>
          <w:b/>
          <w:bCs/>
          <w:i w:val="false"/>
          <w:iCs w:val="false"/>
          <w:sz w:val="22"/>
          <w:szCs w:val="22"/>
        </w:rPr>
        <w:t xml:space="preserve">r12 </w:t>
      </w:r>
      <w:r>
        <w:rPr>
          <w:b w:val="false"/>
          <w:bCs w:val="false"/>
          <w:i w:val="false"/>
          <w:iCs w:val="false"/>
          <w:sz w:val="22"/>
          <w:szCs w:val="22"/>
        </w:rPr>
        <w:t xml:space="preserve">— + R1 subject pool expansion via </w:t>
      </w:r>
      <w:r>
        <w:rPr>
          <w:b w:val="false"/>
          <w:bCs w:val="false"/>
          <w:i w:val="false"/>
          <w:iCs w:val="false"/>
          <w:sz w:val="22"/>
          <w:szCs w:val="22"/>
        </w:rPr>
        <w:t xml:space="preserve">--include_remeasured</w:t>
      </w:r>
      <w:r>
        <w:rPr>
          <w:b w:val="false"/>
          <w:bCs w:val="false"/>
          <w:i w:val="false"/>
          <w:iCs w:val="false"/>
          <w:sz w:val="22"/>
          <w:szCs w:val="22"/>
        </w:rPr>
        <w:t xml:space="preserve"> (overshot baseline by +120 MMT)</w:t>
      </w:r>
    </w:p>
    <w:p>
      <w:pPr>
        <w:spacing w:after="30" w:before="0" w:line="280"/>
        <w:jc w:val="left"/>
      </w:pPr>
      <w:r>
        <w:rPr>
          <w:b/>
          <w:bCs/>
          <w:i w:val="false"/>
          <w:iCs w:val="false"/>
          <w:sz w:val="22"/>
          <w:szCs w:val="22"/>
        </w:rPr>
        <w:t xml:space="preserve">r13 </w:t>
      </w:r>
      <w:r>
        <w:rPr>
          <w:b w:val="false"/>
          <w:bCs w:val="false"/>
          <w:i w:val="false"/>
          <w:iCs w:val="false"/>
          <w:sz w:val="22"/>
          <w:szCs w:val="22"/>
        </w:rPr>
        <w:t xml:space="preserve">— + R5 BRMS Reineke SDImax cap</w:t>
      </w:r>
    </w:p>
    <w:p>
      <w:pPr>
        <w:spacing w:after="30" w:before="0" w:line="280"/>
        <w:jc w:val="left"/>
      </w:pPr>
      <w:r>
        <w:rPr>
          <w:b/>
          <w:bCs/>
          <w:i w:val="false"/>
          <w:iCs w:val="false"/>
          <w:sz w:val="22"/>
          <w:szCs w:val="22"/>
        </w:rPr>
        <w:t xml:space="preserve">r14 </w:t>
      </w:r>
      <w:r>
        <w:rPr>
          <w:b w:val="false"/>
          <w:bCs w:val="false"/>
          <w:i w:val="false"/>
          <w:iCs w:val="false"/>
          <w:sz w:val="22"/>
          <w:szCs w:val="22"/>
        </w:rPr>
        <w:t xml:space="preserve">— + R8 decoupled CO</w:t>
      </w:r>
      <w:r>
        <w:rPr>
          <w:b w:val="false"/>
          <w:bCs w:val="false"/>
          <w:i w:val="false"/>
          <w:iCs w:val="false"/>
          <w:sz w:val="22"/>
          <w:szCs w:val="22"/>
          <w:vertAlign w:val="subscript"/>
        </w:rPr>
        <w:t xml:space="preserve">2</w:t>
      </w:r>
      <w:r>
        <w:rPr>
          <w:b w:val="false"/>
          <w:bCs w:val="false"/>
          <w:i w:val="false"/>
          <w:iCs w:val="false"/>
          <w:sz w:val="22"/>
          <w:szCs w:val="22"/>
        </w:rPr>
        <w:t xml:space="preserve"> + R6 episodic disturbance (SBW + wind + fire)</w:t>
      </w:r>
    </w:p>
    <w:p>
      <w:pPr>
        <w:spacing w:after="30" w:before="0" w:line="280"/>
        <w:jc w:val="left"/>
      </w:pPr>
      <w:r>
        <w:rPr>
          <w:b/>
          <w:bCs/>
          <w:i w:val="false"/>
          <w:iCs w:val="false"/>
          <w:sz w:val="22"/>
          <w:szCs w:val="22"/>
        </w:rPr>
        <w:t xml:space="preserve">r15 </w:t>
      </w:r>
      <w:r>
        <w:rPr>
          <w:b w:val="false"/>
          <w:bCs w:val="false"/>
          <w:i w:val="false"/>
          <w:iCs w:val="false"/>
          <w:sz w:val="22"/>
          <w:szCs w:val="22"/>
        </w:rPr>
        <w:t xml:space="preserve">— + R4 FORTYPCD species climate (D'Amato 2011, Iverson 2008)</w:t>
      </w:r>
    </w:p>
    <w:p>
      <w:pPr>
        <w:spacing w:after="30" w:before="0" w:line="280"/>
        <w:jc w:val="left"/>
      </w:pPr>
      <w:r>
        <w:rPr>
          <w:b/>
          <w:bCs/>
          <w:i w:val="false"/>
          <w:iCs w:val="false"/>
          <w:sz w:val="22"/>
          <w:szCs w:val="22"/>
        </w:rPr>
        <w:t xml:space="preserve">r16 </w:t>
      </w:r>
      <w:r>
        <w:rPr>
          <w:b w:val="false"/>
          <w:bCs w:val="false"/>
          <w:i w:val="false"/>
          <w:iCs w:val="false"/>
          <w:sz w:val="22"/>
          <w:szCs w:val="22"/>
        </w:rPr>
        <w:t xml:space="preserve">— + R4-VCC Potter 2017 SPCD-resolved species climate vulnerability</w:t>
      </w:r>
    </w:p>
    <w:p>
      <w:pPr>
        <w:spacing w:after="30" w:before="0" w:line="280"/>
        <w:jc w:val="left"/>
      </w:pPr>
      <w:r>
        <w:rPr>
          <w:b/>
          <w:bCs/>
          <w:i w:val="false"/>
          <w:iCs w:val="false"/>
          <w:color w:val="1B5E20"/>
          <w:sz w:val="22"/>
          <w:szCs w:val="22"/>
        </w:rPr>
        <w:t xml:space="preserve">r17 </w:t>
      </w:r>
      <w:r>
        <w:rPr>
          <w:b/>
          <w:bCs/>
          <w:i w:val="false"/>
          <w:iCs w:val="false"/>
          <w:sz w:val="22"/>
          <w:szCs w:val="22"/>
        </w:rPr>
        <w:t xml:space="preserve">— R1-v2 DESIGNCD filter (annualized only) + r16 stack — CANONICAL refined-pipeline baseline</w:t>
      </w:r>
    </w:p>
    <w:p>
      <w:pPr>
        <w:spacing w:after="30" w:before="0" w:line="280"/>
        <w:jc w:val="left"/>
      </w:pPr>
      <w:r>
        <w:rPr>
          <w:b/>
          <w:bCs/>
          <w:i w:val="false"/>
          <w:iCs w:val="false"/>
          <w:color w:val="1B5E20"/>
          <w:sz w:val="22"/>
          <w:szCs w:val="22"/>
        </w:rPr>
        <w:t xml:space="preserve">r18 </w:t>
      </w:r>
      <w:r>
        <w:rPr>
          <w:b/>
          <w:bCs/>
          <w:i w:val="false"/>
          <w:iCs w:val="false"/>
          <w:sz w:val="22"/>
          <w:szCs w:val="22"/>
        </w:rPr>
        <w:t xml:space="preserve">— + R14 HCB landowner stratification (NIPF 0.5×, Industrial 1.5×, Tribal/Federal 0.2×, State 0.5×, Local 0.3×)</w:t>
      </w:r>
    </w:p>
    <w:p>
      <w:pPr>
        <w:spacing w:after="30" w:before="0" w:line="280"/>
        <w:jc w:val="left"/>
      </w:pPr>
      <w:r>
        <w:rPr>
          <w:b/>
          <w:bCs/>
          <w:i w:val="false"/>
          <w:iCs w:val="false"/>
          <w:sz w:val="22"/>
          <w:szCs w:val="22"/>
        </w:rPr>
        <w:t xml:space="preserve">r19 </w:t>
      </w:r>
      <w:r>
        <w:rPr>
          <w:b w:val="false"/>
          <w:bCs w:val="false"/>
          <w:i w:val="false"/>
          <w:iCs w:val="false"/>
          <w:sz w:val="22"/>
          <w:szCs w:val="22"/>
        </w:rPr>
        <w:t xml:space="preserve">— + R12 county harvest offset (small marginal effect)</w:t>
      </w:r>
    </w:p>
    <w:p>
      <w:pPr>
        <w:spacing w:after="100" w:before="0" w:line="280"/>
        <w:jc w:val="left"/>
      </w:pPr>
      <w:r>
        <w:rPr>
          <w:b/>
          <w:bCs/>
          <w:i w:val="false"/>
          <w:iCs w:val="false"/>
          <w:color w:val="1B5E20"/>
          <w:sz w:val="22"/>
          <w:szCs w:val="22"/>
        </w:rPr>
        <w:t xml:space="preserve">r20 </w:t>
      </w:r>
      <w:r>
        <w:rPr>
          <w:b/>
          <w:bCs/>
          <w:i w:val="false"/>
          <w:iCs w:val="false"/>
          <w:sz w:val="22"/>
          <w:szCs w:val="22"/>
        </w:rPr>
        <w:t xml:space="preserve">— R14 mass-balanced variant; isolates spatial (80% of total) from net rate (20%) effects</w:t>
      </w:r>
    </w:p>
    <w:p>
      <w:pPr>
        <w:pStyle w:val="Heading2"/>
        <w:spacing w:after="140" w:before="280"/>
      </w:pPr>
      <w:r>
        <w:rPr>
          <w:b/>
          <w:bCs/>
          <w:color w:val="2E7D32"/>
          <w:sz w:val="26"/>
          <w:szCs w:val="26"/>
        </w:rPr>
        <w:t xml:space="preserve">Recommendations for the manuscript</w:t>
      </w:r>
    </w:p>
    <w:p>
      <w:pPr>
        <w:spacing w:after="120" w:before="0" w:line="280"/>
        <w:jc w:val="left"/>
      </w:pPr>
      <w:r>
        <w:rPr>
          <w:b w:val="false"/>
          <w:bCs w:val="false"/>
          <w:i w:val="false"/>
          <w:iCs w:val="false"/>
          <w:sz w:val="22"/>
          <w:szCs w:val="22"/>
        </w:rPr>
        <w:t xml:space="preserve">Lead with the calibration story (Figure 1, Table 1). The 35% RMSE reduction from owner stratification is the publishable headline.</w:t>
      </w:r>
    </w:p>
    <w:p>
      <w:pPr>
        <w:spacing w:after="120" w:before="0" w:line="280"/>
        <w:jc w:val="left"/>
      </w:pPr>
      <w:r>
        <w:rPr>
          <w:b w:val="false"/>
          <w:bCs w:val="false"/>
          <w:i w:val="false"/>
          <w:iCs w:val="false"/>
          <w:sz w:val="22"/>
          <w:szCs w:val="22"/>
        </w:rPr>
        <w:t xml:space="preserve">The decomposition (Figure 3, Table 3) showing 80% spatial vs 20% net-rate effect is the surprise finding that turns the paper from a calibration paper into a methods paper with policy implications. Owner stratification matters even at constant statewide harvest mass.</w:t>
      </w:r>
    </w:p>
    <w:p>
      <w:pPr>
        <w:spacing w:after="120" w:before="0" w:line="280"/>
        <w:jc w:val="left"/>
      </w:pPr>
      <w:r>
        <w:rPr>
          <w:b w:val="false"/>
          <w:bCs w:val="false"/>
          <w:i w:val="false"/>
          <w:iCs w:val="false"/>
          <w:sz w:val="22"/>
          <w:szCs w:val="22"/>
        </w:rPr>
        <w:t xml:space="preserve">Use r18 wear+econ as the canonical pipeline. r19 (+ R12 county) provides marginal additional skill but is an orthogonal refinement. r20 should appear in a dedicated supplement section on the spatial vs rate decomposition.</w:t>
      </w:r>
    </w:p>
    <w:p>
      <w:pPr>
        <w:spacing w:after="120" w:before="0" w:line="280"/>
        <w:jc w:val="left"/>
      </w:pPr>
      <w:r>
        <w:rPr>
          <w:b w:val="false"/>
          <w:bCs w:val="false"/>
          <w:i w:val="false"/>
          <w:iCs w:val="false"/>
          <w:sz w:val="22"/>
          <w:szCs w:val="22"/>
        </w:rPr>
        <w:t xml:space="preserve">Acknowledge structural limitations: 14% 2004 baseline undershoot reflects the projection-vs-inventory definitional mismatch; HCB raster is 2022 vintage so recent ownership churn is not captured; climate uncertainty is single-GCM (HadGEM2-AO point estimate); CMIP5 ensemble sampling is staged for follow-on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1B5E20"/>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a823a146c96309d8669d238fbf405b3396eb4e.png"/><Relationship Id="rId8" Type="http://schemas.openxmlformats.org/officeDocument/2006/relationships/image" Target="media/a45ac26933432cff493319abdb2bbc2b5ba76f27.png"/><Relationship Id="rId9" Type="http://schemas.openxmlformats.org/officeDocument/2006/relationships/image" Target="media/f9897a9ad0a2392dd50980012dbd58e4f0130de0.png"/><Relationship Id="rId10" Type="http://schemas.openxmlformats.org/officeDocument/2006/relationships/image" Target="media/c487033893a8722ca5bb3747bd21d8b22bbdb70a.png"/><Relationship Id="rId11" Type="http://schemas.openxmlformats.org/officeDocument/2006/relationships/image" Target="media/6ba4a60dd643c0fc271f0fd4e0ce2e338dce932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2026-04-30T08:54:29.903Z</dcterms:created>
  <dcterms:modified xsi:type="dcterms:W3CDTF">2026-04-30T08:54:29.904Z</dcterms:modified>
</cp:coreProperties>
</file>

<file path=docProps/custom.xml><?xml version="1.0" encoding="utf-8"?>
<Properties xmlns="http://schemas.openxmlformats.org/officeDocument/2006/custom-properties" xmlns:vt="http://schemas.openxmlformats.org/officeDocument/2006/docPropsVTypes"/>
</file>