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b/>
          <w:bCs/>
          <w:color w:val="1B5E20"/>
          <w:sz w:val="32"/>
          <w:szCs w:val="32"/>
        </w:rPr>
        <w:t xml:space="preserve">Supplement S2: Reineke SDImax by Maine Ecoregion and Forest Type</w:t>
      </w:r>
    </w:p>
    <w:p>
      <w:pPr>
        <w:spacing w:after="120" w:before="0" w:line="280"/>
        <w:jc w:val="left"/>
      </w:pPr>
      <w:r>
        <w:rPr>
          <w:i/>
          <w:iCs/>
          <w:sz w:val="22"/>
          <w:szCs w:val="22"/>
        </w:rPr>
        <w:t xml:space="preserve">Plot-specific maximum stand density index (SDImax, Reineke 1933) was estimated using a Bayesian regression model (BRMS) fit by Weiskittel and colleagues to the FIA database (n = 173,740 plots across the seven New England states). The model conditions SDImax on plot location, forest type, and site productivity. The 2024 posterior of plot-mean SDImax was used as the upper density envelope in the FIA CEM growth pipeline (parameter </w:t>
      </w:r>
      <w:r>
        <w:rPr>
          <w:i/>
          <w:iCs/>
          <w:sz w:val="22"/>
          <w:szCs w:val="22"/>
        </w:rPr>
        <w:t xml:space="preserve">--use_brms_sdimax</w:t>
      </w:r>
      <w:r>
        <w:rPr>
          <w:i/>
          <w:iCs/>
          <w:sz w:val="22"/>
          <w:szCs w:val="22"/>
        </w:rPr>
        <w:t xml:space="preserve">).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This supplement summarises the plot-level posterior means by ecoregion and forest-type group for the 3,253 Maine plots used in projection. Estimates are reported in metric (trees ha</w:t>
      </w:r>
      <w:r>
        <w:rPr>
          <w:sz w:val="22"/>
          <w:szCs w:val="22"/>
          <w:vertAlign w:val="superscript"/>
        </w:rPr>
        <w:t xml:space="preserve">−1</w:t>
      </w:r>
      <w:r>
        <w:rPr>
          <w:sz w:val="22"/>
          <w:szCs w:val="22"/>
        </w:rPr>
        <w:t xml:space="preserve">) and US (trees ac</w:t>
      </w:r>
      <w:r>
        <w:rPr>
          <w:sz w:val="22"/>
          <w:szCs w:val="22"/>
          <w:vertAlign w:val="superscript"/>
        </w:rPr>
        <w:t xml:space="preserve">−1</w:t>
      </w:r>
      <w:r>
        <w:rPr>
          <w:sz w:val="22"/>
          <w:szCs w:val="22"/>
        </w:rPr>
        <w:t xml:space="preserve">) units.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Table S2.1. SDImax by Maine ecoregion (all forest types pooled)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700"/>
        <w:gridCol w:w="17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Ecoregion</w:t>
            </w:r>
          </w:p>
        </w:tc>
        <w:tc>
          <w:tcPr>
            <w:tcW w:type="dxa" w:w="11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plots</w:t>
            </w:r>
          </w:p>
        </w:tc>
        <w:tc>
          <w:tcPr>
            <w:tcW w:type="dxa" w:w="17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(trees ha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  <w:tc>
          <w:tcPr>
            <w:tcW w:type="dxa" w:w="17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(trees ac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ha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Acadian Highlands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592–1563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239–633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Central Maine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612–1462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248–592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Eastern/Coastal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567–1407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230–569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Western Mountains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625–1430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253–579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Table S2.2. SDImax by FIA forest-type group (Maine)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Forest-type group</w:t>
            </w:r>
          </w:p>
        </w:tc>
        <w:tc>
          <w:tcPr>
            <w:tcW w:type="dxa" w:w="11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plots</w:t>
            </w:r>
          </w:p>
        </w:tc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(ha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(ac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(ha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10–90% (ac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t xml:space="preserve">−1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642–1642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260–665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Softwood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683–1561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276–632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1061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649–1543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262–624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564–1474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228–597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596–1306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241–529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Hardwood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874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560–1285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227–520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397–1351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161–547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Notes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Ecoregion classification follows EPA Omernik Level III, aggregated into four reporting zones used in CRSF Maine forest-condition reports: Acadian Highlands (Aroostook, Piscataquis), Western Mountains (Franklin, Oxford, Somerset), Central Maine (Androscoggin, Cumberland, Kennebec, Penobscot, Sagadahoc, Waldo, York), and Eastern/Coastal (Hancock, Knox, Lincoln, Washington).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Forest-type groups follow the FIA FORTYPCD coarse aggregation: Spruce-fir (FORTYPCD 121–128), Softwood pine and hemlock (102–105, 167, 381), Mixed (401, 402, 409), Aspen-birch (901–904), Northern hardwood (801–809, 922), Hardwood oak/maple (503, 505, 506, 515, 519, 520, 701, 703, 704, 708), and Other.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Spruce-fir stands carry the highest density envelope (mean 1,119 trees ha</w:t>
      </w:r>
      <w:r>
        <w:rPr>
          <w:sz w:val="22"/>
          <w:szCs w:val="22"/>
          <w:vertAlign w:val="superscript"/>
        </w:rPr>
        <w:t xml:space="preserve">−1</w:t>
      </w:r>
      <w:r>
        <w:rPr>
          <w:sz w:val="22"/>
          <w:szCs w:val="22"/>
        </w:rPr>
        <w:t xml:space="preserve">, range 642–1,642 between 10th and 90th plot-level percentiles), reflecting their narrow conical crowns and tolerance of dense self-thinning trajectories. Hardwood oak-maple stands carry the loosest envelope (874 trees ha</w:t>
      </w:r>
      <w:r>
        <w:rPr>
          <w:sz w:val="22"/>
          <w:szCs w:val="22"/>
          <w:vertAlign w:val="superscript"/>
        </w:rPr>
        <w:t xml:space="preserve">−1</w:t>
      </w:r>
      <w:r>
        <w:rPr>
          <w:sz w:val="22"/>
          <w:szCs w:val="22"/>
        </w:rPr>
        <w:t xml:space="preserve">). Ecoregion variation in mean SDImax across all forest types is modest (982 to 1,050 trees ha</w:t>
      </w:r>
      <w:r>
        <w:rPr>
          <w:sz w:val="22"/>
          <w:szCs w:val="22"/>
          <w:vertAlign w:val="superscript"/>
        </w:rPr>
        <w:t xml:space="preserve">−1</w:t>
      </w:r>
      <w:r>
        <w:rPr>
          <w:sz w:val="22"/>
          <w:szCs w:val="22"/>
        </w:rPr>
        <w:t xml:space="preserve">), driven mostly by differences in forest-type mixture rather than productivity per se.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These values are consumed by 06_projection_engine.R via the apply_sdimax_cap() function. Projected SDI is bounded above by the plot-keyed BRMS posterior mean each cycle, and stand growth is throttled multiplicatively as relative density (SDI/SDImax) approaches 0.6 to 1.0 to honour the Reineke self-thinning ceiling.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Source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Weiskittel et al., BRMS posterior plot-level SDImax dataset, January 2024 (n = 173,740 plots, eastern US). Data archived in CRSF/FIA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2026-04-30T08:58:03.694Z</dcterms:created>
  <dcterms:modified xsi:type="dcterms:W3CDTF">2026-04-30T08:58:03.695Z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