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Co-author distribution — fvs-modern manuscript final draft</w:t>
      </w:r>
    </w:p>
    <w:p>
      <w:pPr>
        <w:pStyle w:val="Date"/>
      </w:pPr>
      <w:r>
        <w:t xml:space="preserve">2026-04-26</w:t>
      </w:r>
    </w:p>
    <w:p>
      <w:pPr>
        <w:pStyle w:val="FirstParagraph"/>
      </w:pPr>
      <w:r>
        <w:t xml:space="preserve">To: Greg Johnson</w:t>
      </w:r>
      <w:r>
        <w:t xml:space="preserve"> </w:t>
      </w:r>
      <w:hyperlink r:id="rId20">
        <w:r>
          <w:rPr>
            <w:rStyle w:val="Hyperlink"/>
          </w:rPr>
          <w:t xml:space="preserve">gjohnson@growthmodel.org</w:t>
        </w:r>
      </w:hyperlink>
      <w:r>
        <w:t xml:space="preserve">; David Marshall</w:t>
      </w:r>
      <w:r>
        <w:t xml:space="preserve"> </w:t>
      </w:r>
      <w:hyperlink r:id="rId21">
        <w:r>
          <w:rPr>
            <w:rStyle w:val="Hyperlink"/>
          </w:rPr>
          <w:t xml:space="preserve">dmarshall@fs.fed.us</w:t>
        </w:r>
      </w:hyperlink>
      <w:r>
        <w:t xml:space="preserve"> </w:t>
      </w:r>
      <w:r>
        <w:t xml:space="preserve">From: Aaron Weiskittel</w:t>
      </w:r>
      <w:r>
        <w:t xml:space="preserve"> </w:t>
      </w:r>
      <w:hyperlink r:id="rId22">
        <w:r>
          <w:rPr>
            <w:rStyle w:val="Hyperlink"/>
          </w:rPr>
          <w:t xml:space="preserve">aaron.weiskittel@maine.edu</w:t>
        </w:r>
      </w:hyperlink>
      <w:r>
        <w:t xml:space="preserve"> </w:t>
      </w:r>
      <w:r>
        <w:t xml:space="preserve">Subject: fvs-modern manuscript final draft — review request before EMS submission</w:t>
      </w:r>
    </w:p>
    <w:p>
      <w:pPr>
        <w:pStyle w:val="BodyText"/>
      </w:pPr>
      <w:r>
        <w:t xml:space="preserve">Greg and David,</w:t>
      </w:r>
    </w:p>
    <w:p>
      <w:pPr>
        <w:pStyle w:val="BodyText"/>
      </w:pPr>
      <w:r>
        <w:t xml:space="preserve">The fvs-modern manuscript is at a complete pre-submission state and</w:t>
      </w:r>
      <w:r>
        <w:t xml:space="preserve"> </w:t>
      </w:r>
      <w:r>
        <w:t xml:space="preserve">I would value your review before I submit to Environmental Modelling</w:t>
      </w:r>
      <w:r>
        <w:t xml:space="preserve"> </w:t>
      </w:r>
      <w:r>
        <w:t xml:space="preserve">and Software. Target submission date is the week of May 5 if your</w:t>
      </w:r>
      <w:r>
        <w:t xml:space="preserve"> </w:t>
      </w:r>
      <w:r>
        <w:t xml:space="preserve">feedback lands by May 2.</w:t>
      </w:r>
    </w:p>
    <w:p>
      <w:pPr>
        <w:pStyle w:val="BodyText"/>
      </w:pPr>
      <w:r>
        <w:t xml:space="preserve">Attached:</w:t>
      </w:r>
    </w:p>
    <w:p>
      <w:pPr>
        <w:pStyle w:val="Compact"/>
        <w:numPr>
          <w:ilvl w:val="0"/>
          <w:numId w:val="1001"/>
        </w:numPr>
      </w:pPr>
      <w:r>
        <w:t xml:space="preserve">fvs_combined_draft.docx — main manuscript (7,617 words, 11 figures)</w:t>
      </w:r>
    </w:p>
    <w:p>
      <w:pPr>
        <w:pStyle w:val="Compact"/>
        <w:numPr>
          <w:ilvl w:val="0"/>
          <w:numId w:val="1001"/>
        </w:numPr>
      </w:pPr>
      <w:r>
        <w:t xml:space="preserve">fvs_combined_SI.docx — supplementary materials (1,263 words, 41 figures)</w:t>
      </w:r>
    </w:p>
    <w:p>
      <w:pPr>
        <w:pStyle w:val="Compact"/>
        <w:numPr>
          <w:ilvl w:val="0"/>
          <w:numId w:val="1001"/>
        </w:numPr>
      </w:pPr>
      <w:r>
        <w:t xml:space="preserve">cover_letter_ems.docx — draft cover letter</w:t>
      </w:r>
    </w:p>
    <w:p>
      <w:pPr>
        <w:pStyle w:val="Compact"/>
        <w:numPr>
          <w:ilvl w:val="0"/>
          <w:numId w:val="1001"/>
        </w:numPr>
      </w:pPr>
      <w:r>
        <w:t xml:space="preserve">20260426_ems_self-review_fvs-modern_v3.docx — internal self-review</w:t>
      </w:r>
      <w:r>
        <w:t xml:space="preserve"> </w:t>
      </w:r>
      <w:r>
        <w:t xml:space="preserve">(manuscript-review framework, scoring 4.7/5.0, recommendation Accept)</w:t>
      </w:r>
    </w:p>
    <w:p>
      <w:pPr>
        <w:pStyle w:val="FirstParagraph"/>
      </w:pPr>
      <w:r>
        <w:t xml:space="preserve">Repository state:</w:t>
      </w:r>
    </w:p>
    <w:p>
      <w:pPr>
        <w:pStyle w:val="Compact"/>
        <w:numPr>
          <w:ilvl w:val="0"/>
          <w:numId w:val="1002"/>
        </w:numPr>
      </w:pPr>
      <w:r>
        <w:t xml:space="preserve">GitHub: https://github.com/holoros/fvs-modern</w:t>
      </w:r>
    </w:p>
    <w:p>
      <w:pPr>
        <w:pStyle w:val="Compact"/>
        <w:numPr>
          <w:ilvl w:val="0"/>
          <w:numId w:val="1002"/>
        </w:numPr>
      </w:pPr>
      <w:r>
        <w:t xml:space="preserve">Tag: v2026.05.3 (current; commit 4c8ec62 on origin/main)</w:t>
      </w:r>
    </w:p>
    <w:p>
      <w:pPr>
        <w:pStyle w:val="Compact"/>
        <w:numPr>
          <w:ilvl w:val="0"/>
          <w:numId w:val="1002"/>
        </w:numPr>
      </w:pPr>
      <w:r>
        <w:t xml:space="preserve">Zenodo DOI: 10.5281/zenodo.19802673</w:t>
      </w:r>
      <w:r>
        <w:t xml:space="preserve"> </w:t>
      </w:r>
      <w:r>
        <w:t xml:space="preserve">(https://doi.org/10.5281/zenodo.19802673)</w:t>
      </w:r>
    </w:p>
    <w:p>
      <w:pPr>
        <w:pStyle w:val="FirstParagraph"/>
      </w:pPr>
      <w:r>
        <w:t xml:space="preserve">What changed since you last saw the manuscript:</w:t>
      </w:r>
    </w:p>
    <w:p>
      <w:pPr>
        <w:pStyle w:val="BodyText"/>
      </w:pPr>
      <w:r>
        <w:t xml:space="preserve">The biggest substantive change is Section 4.6 (Bakuzis matrix</w:t>
      </w:r>
      <w:r>
        <w:t xml:space="preserve"> </w:t>
      </w:r>
      <w:r>
        <w:t xml:space="preserve">outcomes), now run on real FIA condition pairs sampled by site index</w:t>
      </w:r>
      <w:r>
        <w:t xml:space="preserve"> </w:t>
      </w:r>
      <w:r>
        <w:t xml:space="preserve">and basal area band rather than synthetic algorithmic stands. Five</w:t>
      </w:r>
      <w:r>
        <w:t xml:space="preserve"> </w:t>
      </w:r>
      <w:r>
        <w:t xml:space="preserve">real plots per cell, 100 posterior draws per scenario, NE and ACD</w:t>
      </w:r>
      <w:r>
        <w:t xml:space="preserve"> </w:t>
      </w:r>
      <w:r>
        <w:t xml:space="preserve">variants on OSC Cardinal. The headline finding is preserved and</w:t>
      </w:r>
      <w:r>
        <w:t xml:space="preserve"> </w:t>
      </w:r>
      <w:r>
        <w:t xml:space="preserve">strengthened: ACD posterior credible band achieves 50 percent</w:t>
      </w:r>
      <w:r>
        <w:t xml:space="preserve"> </w:t>
      </w:r>
      <w:r>
        <w:t xml:space="preserve">Eichhorn rule compliance on real stands compared with 20 percent for</w:t>
      </w:r>
      <w:r>
        <w:t xml:space="preserve"> </w:t>
      </w:r>
      <w:r>
        <w:t xml:space="preserve">both default and calibrated MAP point estimates. NE Sukachev 0</w:t>
      </w:r>
      <w:r>
        <w:t xml:space="preserve"> </w:t>
      </w:r>
      <w:r>
        <w:t xml:space="preserve">percent compliance is now confirmed as a real variant property</w:t>
      </w:r>
      <w:r>
        <w:t xml:space="preserve"> </w:t>
      </w:r>
      <w:r>
        <w:t xml:space="preserve">rather than a synthetic stand artifact.</w:t>
      </w:r>
    </w:p>
    <w:p>
      <w:pPr>
        <w:pStyle w:val="BodyText"/>
      </w:pPr>
      <w:r>
        <w:t xml:space="preserve">Section 3.3 methods now describes the FIA stratified sampling path</w:t>
      </w:r>
      <w:r>
        <w:t xml:space="preserve"> </w:t>
      </w:r>
      <w:r>
        <w:t xml:space="preserve">explicitly. Section 5.4 limitations honestly frames the FVS-PN, SN,</w:t>
      </w:r>
      <w:r>
        <w:t xml:space="preserve"> </w:t>
      </w:r>
      <w:r>
        <w:t xml:space="preserve">IE state: shared libraries build cleanly and load via Python ctypes</w:t>
      </w:r>
      <w:r>
        <w:t xml:space="preserve"> </w:t>
      </w:r>
      <w:r>
        <w:t xml:space="preserve">after this release’s repairs, but a Fortran runtime regression in</w:t>
      </w:r>
      <w:r>
        <w:t xml:space="preserve"> </w:t>
      </w:r>
      <w:r>
        <w:t xml:space="preserve">the keyword reader still affects all three variants. Section 5.5</w:t>
      </w:r>
      <w:r>
        <w:t xml:space="preserve"> </w:t>
      </w:r>
      <w:r>
        <w:t xml:space="preserve">future work lists this as the sixth outstanding item.</w:t>
      </w:r>
    </w:p>
    <w:p>
      <w:pPr>
        <w:pStyle w:val="BodyText"/>
      </w:pPr>
      <w:r>
        <w:t xml:space="preserve">Six smaller revisions came out of an internal manuscript-review pass</w:t>
      </w:r>
      <w:r>
        <w:t xml:space="preserve"> </w:t>
      </w:r>
      <w:r>
        <w:t xml:space="preserve">this morning (R1 through R6 in the v3 self-review document). They</w:t>
      </w:r>
      <w:r>
        <w:t xml:space="preserve"> </w:t>
      </w:r>
      <w:r>
        <w:t xml:space="preserve">are: abstract reframed to</w:t>
      </w:r>
      <w:r>
        <w:t xml:space="preserve"> </w:t>
      </w:r>
      <w:r>
        <w:t xml:space="preserve">“three of four”</w:t>
      </w:r>
      <w:r>
        <w:t xml:space="preserve"> </w:t>
      </w:r>
      <w:r>
        <w:t xml:space="preserve">biological laws (since</w:t>
      </w:r>
      <w:r>
        <w:t xml:space="preserve"> </w:t>
      </w:r>
      <w:r>
        <w:t xml:space="preserve">mortality size pattern is deferred); Section 2.2 added rationale for</w:t>
      </w:r>
      <w:r>
        <w:t xml:space="preserve"> </w:t>
      </w:r>
      <w:r>
        <w:t xml:space="preserve">serializing 500 joint posterior samples thinned from 4,000 retained</w:t>
      </w:r>
      <w:r>
        <w:t xml:space="preserve"> </w:t>
      </w:r>
      <w:r>
        <w:t xml:space="preserve">MCMC draws; Section 4.4 distinguishes the residual bootstrap envelope</w:t>
      </w:r>
      <w:r>
        <w:t xml:space="preserve"> </w:t>
      </w:r>
      <w:r>
        <w:t xml:space="preserve">in Figure 6 from the parametric posterior credible band in Figure 8;</w:t>
      </w:r>
      <w:r>
        <w:t xml:space="preserve"> </w:t>
      </w:r>
      <w:r>
        <w:t xml:space="preserve">Section 5.3 distinguishes synthetic single stand and FIA mode five</w:t>
      </w:r>
      <w:r>
        <w:t xml:space="preserve"> </w:t>
      </w:r>
      <w:r>
        <w:t xml:space="preserve">plot Bakuzis compute costs; Section 3.1 added explicit site index</w:t>
      </w:r>
      <w:r>
        <w:t xml:space="preserve"> </w:t>
      </w:r>
      <w:r>
        <w:t xml:space="preserve">treatment (FIA SICOND, base age 50); and Reynolds (1984) is now</w:t>
      </w:r>
      <w:r>
        <w:t xml:space="preserve"> </w:t>
      </w:r>
      <w:r>
        <w:t xml:space="preserve">cited in Section 3.1 as the methodological foundation for the 20</w:t>
      </w:r>
      <w:r>
        <w:t xml:space="preserve"> </w:t>
      </w:r>
      <w:r>
        <w:t xml:space="preserve">percent equivalence metric.</w:t>
      </w:r>
    </w:p>
    <w:p>
      <w:pPr>
        <w:pStyle w:val="BodyText"/>
      </w:pPr>
      <w:r>
        <w:t xml:space="preserve">What I would value most from each of you:</w:t>
      </w:r>
    </w:p>
    <w:p>
      <w:pPr>
        <w:pStyle w:val="BodyText"/>
      </w:pPr>
      <w:r>
        <w:t xml:space="preserve">Greg, your perspective on the operational framing in Section 5</w:t>
      </w:r>
      <w:r>
        <w:t xml:space="preserve"> </w:t>
      </w:r>
      <w:r>
        <w:t xml:space="preserve">(particularly 5.1 scientific implications and 5.2 software</w:t>
      </w:r>
      <w:r>
        <w:t xml:space="preserve"> </w:t>
      </w:r>
      <w:r>
        <w:t xml:space="preserve">engineering implications) and on the comparative positioning against</w:t>
      </w:r>
      <w:r>
        <w:t xml:space="preserve"> </w:t>
      </w:r>
      <w:r>
        <w:t xml:space="preserve">Joo et al. (2025), Premer et al. (2025), and the Forest Carbon</w:t>
      </w:r>
      <w:r>
        <w:t xml:space="preserve"> </w:t>
      </w:r>
      <w:r>
        <w:t xml:space="preserve">Modeling Group statement (Woodall et al. 2025). Your review of</w:t>
      </w:r>
      <w:r>
        <w:t xml:space="preserve"> </w:t>
      </w:r>
      <w:r>
        <w:t xml:space="preserve">Section 4.6 Bakuzis findings would also be welcome given your</w:t>
      </w:r>
      <w:r>
        <w:t xml:space="preserve"> </w:t>
      </w:r>
      <w:r>
        <w:t xml:space="preserve">familiarity with the Acadian variant.</w:t>
      </w:r>
    </w:p>
    <w:p>
      <w:pPr>
        <w:pStyle w:val="BodyText"/>
      </w:pPr>
      <w:r>
        <w:t xml:space="preserve">David, your review of Sections 2.1 through 2.3 (software</w:t>
      </w:r>
      <w:r>
        <w:t xml:space="preserve"> </w:t>
      </w:r>
      <w:r>
        <w:t xml:space="preserve">description) and Section 4.1 (modernization outcomes) given your</w:t>
      </w:r>
      <w:r>
        <w:t xml:space="preserve"> </w:t>
      </w:r>
      <w:r>
        <w:t xml:space="preserve">deep familiarity with FVS internals. I would also appreciate your</w:t>
      </w:r>
      <w:r>
        <w:t xml:space="preserve"> </w:t>
      </w:r>
      <w:r>
        <w:t xml:space="preserve">feedback on Section 5.4 limitations, specifically the framing of the</w:t>
      </w:r>
      <w:r>
        <w:t xml:space="preserve"> </w:t>
      </w:r>
      <w:r>
        <w:t xml:space="preserve">FVS-PN/SN/IE runtime regression.</w:t>
      </w:r>
    </w:p>
    <w:p>
      <w:pPr>
        <w:pStyle w:val="BodyText"/>
      </w:pPr>
      <w:r>
        <w:t xml:space="preserve">If either of you wants to contribute additional material, the most</w:t>
      </w:r>
      <w:r>
        <w:t xml:space="preserve"> </w:t>
      </w:r>
      <w:r>
        <w:t xml:space="preserve">valuable additions would be (a) any prior performance results for</w:t>
      </w:r>
      <w:r>
        <w:t xml:space="preserve"> </w:t>
      </w:r>
      <w:r>
        <w:t xml:space="preserve">your respective variants that are missing from Section 4.3, or (b)</w:t>
      </w:r>
      <w:r>
        <w:t xml:space="preserve"> </w:t>
      </w:r>
      <w:r>
        <w:t xml:space="preserve">language tightening any of the discussion sections.</w:t>
      </w:r>
    </w:p>
    <w:p>
      <w:pPr>
        <w:pStyle w:val="BodyText"/>
      </w:pPr>
      <w:r>
        <w:t xml:space="preserve">Authorship and acknowledgments:</w:t>
      </w:r>
    </w:p>
    <w:p>
      <w:pPr>
        <w:pStyle w:val="BodyText"/>
      </w:pPr>
      <w:r>
        <w:t xml:space="preserve">Author order is alphabetical after Aaron (Johnson, Marshall) per</w:t>
      </w:r>
      <w:r>
        <w:t xml:space="preserve"> </w:t>
      </w:r>
      <w:r>
        <w:t xml:space="preserve">prior agreement. CRediT statement currently lists me as</w:t>
      </w:r>
      <w:r>
        <w:t xml:space="preserve"> </w:t>
      </w:r>
      <w:r>
        <w:t xml:space="preserve">conceptualization, methodology, calibration pipeline, software</w:t>
      </w:r>
      <w:r>
        <w:t xml:space="preserve"> </w:t>
      </w:r>
      <w:r>
        <w:t xml:space="preserve">engineering, formal analysis, writing original draft. Greg and David</w:t>
      </w:r>
      <w:r>
        <w:t xml:space="preserve"> </w:t>
      </w:r>
      <w:r>
        <w:t xml:space="preserve">are listed for software internals review, Pacific Northwest variant</w:t>
      </w:r>
      <w:r>
        <w:t xml:space="preserve"> </w:t>
      </w:r>
      <w:r>
        <w:t xml:space="preserve">expertise, and editing. If either of you would like a different</w:t>
      </w:r>
      <w:r>
        <w:t xml:space="preserve"> </w:t>
      </w:r>
      <w:r>
        <w:t xml:space="preserve">contribution allocation, please let me know.</w:t>
      </w:r>
    </w:p>
    <w:p>
      <w:pPr>
        <w:pStyle w:val="BodyText"/>
      </w:pPr>
      <w:r>
        <w:t xml:space="preserve">The manuscript declares no competing interests for any of us. If</w:t>
      </w:r>
      <w:r>
        <w:t xml:space="preserve"> </w:t>
      </w:r>
      <w:r>
        <w:t xml:space="preserve">you want to add a specific funding acknowledgment beyond the existing</w:t>
      </w:r>
      <w:r>
        <w:t xml:space="preserve"> </w:t>
      </w:r>
      <w:r>
        <w:t xml:space="preserve">text, send the language and I will integrate it.</w:t>
      </w:r>
    </w:p>
    <w:p>
      <w:pPr>
        <w:pStyle w:val="BodyText"/>
      </w:pPr>
      <w:r>
        <w:t xml:space="preserve">Practical:</w:t>
      </w:r>
    </w:p>
    <w:p>
      <w:pPr>
        <w:pStyle w:val="BodyText"/>
      </w:pPr>
      <w:r>
        <w:t xml:space="preserve">Tracked changes are welcome. If easier, mark up the docx and send</w:t>
      </w:r>
      <w:r>
        <w:t xml:space="preserve"> </w:t>
      </w:r>
      <w:r>
        <w:t xml:space="preserve">back, or open issues against the GitHub repo. Please flag anything</w:t>
      </w:r>
      <w:r>
        <w:t xml:space="preserve"> </w:t>
      </w:r>
      <w:r>
        <w:t xml:space="preserve">that should not appear in the EMS submission, including any phrasing</w:t>
      </w:r>
      <w:r>
        <w:t xml:space="preserve"> </w:t>
      </w:r>
      <w:r>
        <w:t xml:space="preserve">you find inaccurate about your own contributions.</w:t>
      </w:r>
    </w:p>
    <w:p>
      <w:pPr>
        <w:pStyle w:val="BodyText"/>
      </w:pPr>
      <w:r>
        <w:t xml:space="preserve">Thank you both for your work on this and for the review.</w:t>
      </w:r>
    </w:p>
    <w:p>
      <w:pPr>
        <w:pStyle w:val="BodyText"/>
      </w:pPr>
      <w:r>
        <w:t xml:space="preserve">Aaron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mailto:aaron.weiskittel@maine.edu" TargetMode="External" /><Relationship Type="http://schemas.openxmlformats.org/officeDocument/2006/relationships/hyperlink" Id="rId21" Target="mailto:dmarshall@fs.fed.us" TargetMode="External" /><Relationship Type="http://schemas.openxmlformats.org/officeDocument/2006/relationships/hyperlink" Id="rId20" Target="mailto:gjohnson@growthmodel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mailto:aaron.weiskittel@maine.edu" TargetMode="External" /><Relationship Type="http://schemas.openxmlformats.org/officeDocument/2006/relationships/hyperlink" Id="rId21" Target="mailto:dmarshall@fs.fed.us" TargetMode="External" /><Relationship Type="http://schemas.openxmlformats.org/officeDocument/2006/relationships/hyperlink" Id="rId20" Target="mailto:gjohnson@growthmodel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Co-author distribution — fvs-modern manuscript final draft</dc:title>
  <dc:creator/>
  <cp:keywords/>
  <dcterms:created xsi:type="dcterms:W3CDTF">2026-04-27T11:47:25Z</dcterms:created>
  <dcterms:modified xsi:type="dcterms:W3CDTF">2026-04-27T11:47:25Z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</Properties>
</file>