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 letter — Environmental Modelling and Software submission</w:t>
      </w:r>
    </w:p>
    <w:p>
      <w:pPr>
        <w:pStyle w:val="Date"/>
      </w:pPr>
      <w:r>
        <w:t xml:space="preserve">2026-04-26</w:t>
      </w:r>
    </w:p>
    <w:p>
      <w:pPr>
        <w:pStyle w:val="FirstParagraph"/>
      </w:pPr>
      <w:r>
        <w:t xml:space="preserve">April 26, 2026</w:t>
      </w:r>
    </w:p>
    <w:p>
      <w:pPr>
        <w:pStyle w:val="BodyText"/>
      </w:pPr>
      <w:r>
        <w:t xml:space="preserve">Dr. Anthony J. Jakeman</w:t>
      </w:r>
      <w:r>
        <w:t xml:space="preserve"> </w:t>
      </w:r>
      <w:r>
        <w:t xml:space="preserve">Editor-in-Chief</w:t>
      </w:r>
      <w:r>
        <w:t xml:space="preserve"> </w:t>
      </w:r>
      <w:r>
        <w:t xml:space="preserve">Environmental Modelling and Software</w:t>
      </w:r>
    </w:p>
    <w:p>
      <w:pPr>
        <w:pStyle w:val="BodyText"/>
      </w:pPr>
      <w:r>
        <w:t xml:space="preserve">Dear Dr. Jakeman,</w:t>
      </w:r>
    </w:p>
    <w:p>
      <w:pPr>
        <w:pStyle w:val="BodyText"/>
      </w:pPr>
      <w:r>
        <w:t xml:space="preserve">We are pleased to submit the enclosed manuscript,</w:t>
      </w:r>
      <w:r>
        <w:t xml:space="preserve"> </w:t>
      </w:r>
      <w:r>
        <w:t xml:space="preserve">“Modernizing and</w:t>
      </w:r>
      <w:r>
        <w:t xml:space="preserve"> </w:t>
      </w:r>
      <w:r>
        <w:t xml:space="preserve">Bayesian recalibrating the Forest Vegetation Simulator: open source</w:t>
      </w:r>
      <w:r>
        <w:t xml:space="preserve"> </w:t>
      </w:r>
      <w:r>
        <w:t xml:space="preserve">infrastructure and parametric uncertainty quantification for 25</w:t>
      </w:r>
      <w:r>
        <w:t xml:space="preserve"> </w:t>
      </w:r>
      <w:r>
        <w:t xml:space="preserve">geographic variants,”</w:t>
      </w:r>
      <w:r>
        <w:t xml:space="preserve"> </w:t>
      </w:r>
      <w:r>
        <w:t xml:space="preserve">for consideration as a Software Description</w:t>
      </w:r>
      <w:r>
        <w:t xml:space="preserve"> </w:t>
      </w:r>
      <w:r>
        <w:t xml:space="preserve">in Environmental Modelling and Software.</w:t>
      </w:r>
    </w:p>
    <w:p>
      <w:pPr>
        <w:pStyle w:val="BodyText"/>
      </w:pPr>
      <w:r>
        <w:t xml:space="preserve">The manuscript reports an integrated open source release that</w:t>
      </w:r>
      <w:r>
        <w:t xml:space="preserve"> </w:t>
      </w:r>
      <w:r>
        <w:t xml:space="preserve">combines three substantive advances in the FVS modeling ecosystem.</w:t>
      </w:r>
      <w:r>
        <w:t xml:space="preserve"> </w:t>
      </w:r>
      <w:r>
        <w:t xml:space="preserve">First, the full Fortran 77 source tree of FVS, the operational</w:t>
      </w:r>
      <w:r>
        <w:t xml:space="preserve"> </w:t>
      </w:r>
      <w:r>
        <w:t xml:space="preserve">standard for individual tree growth and yield projection across</w:t>
      </w:r>
      <w:r>
        <w:t xml:space="preserve"> </w:t>
      </w:r>
      <w:r>
        <w:t xml:space="preserve">federally managed United States forests, has been converted to</w:t>
      </w:r>
      <w:r>
        <w:t xml:space="preserve"> </w:t>
      </w:r>
      <w:r>
        <w:t xml:space="preserve">standards conformant Fortran 90. Second, all 25 geographic variants</w:t>
      </w:r>
      <w:r>
        <w:t xml:space="preserve"> </w:t>
      </w:r>
      <w:r>
        <w:t xml:space="preserve">have been recalibrated using Bayesian hierarchical models fit to</w:t>
      </w:r>
      <w:r>
        <w:t xml:space="preserve"> </w:t>
      </w:r>
      <w:r>
        <w:t xml:space="preserve">Forest Inventory and Analysis remeasurement data covering roughly</w:t>
      </w:r>
      <w:r>
        <w:t xml:space="preserve"> </w:t>
      </w:r>
      <w:r>
        <w:t xml:space="preserve">two decades of post 2005 panels. Third, a runtime uncertainty engine</w:t>
      </w:r>
      <w:r>
        <w:t xml:space="preserve"> </w:t>
      </w:r>
      <w:r>
        <w:t xml:space="preserve">propagates posterior parametric draws through stand projections,</w:t>
      </w:r>
      <w:r>
        <w:t xml:space="preserve"> </w:t>
      </w:r>
      <w:r>
        <w:t xml:space="preserve">producing credible bands rather than point estimates for the first</w:t>
      </w:r>
      <w:r>
        <w:t xml:space="preserve"> </w:t>
      </w:r>
      <w:r>
        <w:t xml:space="preserve">time in a production growth and yield system at this scale.</w:t>
      </w:r>
    </w:p>
    <w:p>
      <w:pPr>
        <w:pStyle w:val="BodyText"/>
      </w:pPr>
      <w:r>
        <w:t xml:space="preserve">Three empirical applications motivate the release. An internal FIA</w:t>
      </w:r>
      <w:r>
        <w:t xml:space="preserve"> </w:t>
      </w:r>
      <w:r>
        <w:t xml:space="preserve">benchmark on 433,291 remeasurement conditions across 19 variants</w:t>
      </w:r>
      <w:r>
        <w:t xml:space="preserve"> </w:t>
      </w:r>
      <w:r>
        <w:t xml:space="preserve">shows that calibrated parameters improve basal area R squared from</w:t>
      </w:r>
      <w:r>
        <w:t xml:space="preserve"> </w:t>
      </w:r>
      <w:r>
        <w:t xml:space="preserve">0.672 to 0.704 and gross volume R squared from 0.783 to 0.818. An</w:t>
      </w:r>
      <w:r>
        <w:t xml:space="preserve"> </w:t>
      </w:r>
      <w:r>
        <w:t xml:space="preserve">ablation analysis attributes roughly 60 percent of that improvement</w:t>
      </w:r>
      <w:r>
        <w:t xml:space="preserve"> </w:t>
      </w:r>
      <w:r>
        <w:t xml:space="preserve">to the Wykoff diameter growth recalibration, with the Chapman</w:t>
      </w:r>
      <w:r>
        <w:t xml:space="preserve"> </w:t>
      </w:r>
      <w:r>
        <w:t xml:space="preserve">Richards height to diameter component contributing another 25</w:t>
      </w:r>
      <w:r>
        <w:t xml:space="preserve"> </w:t>
      </w:r>
      <w:r>
        <w:t xml:space="preserve">percent. A Bakuzis matrix factorial drawing real FIA condition pairs</w:t>
      </w:r>
      <w:r>
        <w:t xml:space="preserve"> </w:t>
      </w:r>
      <w:r>
        <w:t xml:space="preserve">demonstrates that the calibrated posterior credible band achieves 50</w:t>
      </w:r>
      <w:r>
        <w:t xml:space="preserve"> </w:t>
      </w:r>
      <w:r>
        <w:t xml:space="preserve">percent compliance with Eichhorn’s rule on the Acadian variant</w:t>
      </w:r>
      <w:r>
        <w:t xml:space="preserve"> </w:t>
      </w:r>
      <w:r>
        <w:t xml:space="preserve">versus 20 percent for both default and calibrated MAP point</w:t>
      </w:r>
      <w:r>
        <w:t xml:space="preserve"> </w:t>
      </w:r>
      <w:r>
        <w:t xml:space="preserve">estimates, a 2.5 fold uplift that we interpret as posterior</w:t>
      </w:r>
      <w:r>
        <w:t xml:space="preserve"> </w:t>
      </w:r>
      <w:r>
        <w:t xml:space="preserve">parameter propagation carrying biological information rather than</w:t>
      </w:r>
      <w:r>
        <w:t xml:space="preserve"> </w:t>
      </w:r>
      <w:r>
        <w:t xml:space="preserve">software plumbing.</w:t>
      </w:r>
    </w:p>
    <w:p>
      <w:pPr>
        <w:pStyle w:val="BodyText"/>
      </w:pPr>
      <w:r>
        <w:t xml:space="preserve">The submission fits Environmental Modelling and Software’s scope on</w:t>
      </w:r>
      <w:r>
        <w:t xml:space="preserve"> </w:t>
      </w:r>
      <w:r>
        <w:t xml:space="preserve">several axes. Methodologically, the work integrates Bayesian</w:t>
      </w:r>
      <w:r>
        <w:t xml:space="preserve"> </w:t>
      </w:r>
      <w:r>
        <w:t xml:space="preserve">inference, software engineering, and quantitative model evaluation in</w:t>
      </w:r>
      <w:r>
        <w:t xml:space="preserve"> </w:t>
      </w:r>
      <w:r>
        <w:t xml:space="preserve">a single environmental modeling platform. Operationally, the release</w:t>
      </w:r>
      <w:r>
        <w:t xml:space="preserve"> </w:t>
      </w:r>
      <w:r>
        <w:t xml:space="preserve">addresses Woodall et al. (2025), who identify model uncertainty</w:t>
      </w:r>
      <w:r>
        <w:t xml:space="preserve"> </w:t>
      </w:r>
      <w:r>
        <w:t xml:space="preserve">quantification as the top community priority for the next decade in</w:t>
      </w:r>
      <w:r>
        <w:t xml:space="preserve"> </w:t>
      </w:r>
      <w:r>
        <w:t xml:space="preserve">forest carbon modeling, and complements Joo et al. (2025) and Premer</w:t>
      </w:r>
      <w:r>
        <w:t xml:space="preserve"> </w:t>
      </w:r>
      <w:r>
        <w:t xml:space="preserve">et al. (2025) on the comparative landscape of growth and yield</w:t>
      </w:r>
      <w:r>
        <w:t xml:space="preserve"> </w:t>
      </w:r>
      <w:r>
        <w:t xml:space="preserve">systems. Reproducibly, the full source code, calibrated parameter</w:t>
      </w:r>
      <w:r>
        <w:t xml:space="preserve"> </w:t>
      </w:r>
      <w:r>
        <w:t xml:space="preserve">files, and benchmarking scripts are archived at Zenodo with DOI</w:t>
      </w:r>
      <w:r>
        <w:t xml:space="preserve"> </w:t>
      </w:r>
      <w:r>
        <w:t xml:space="preserve">10.5281/zenodo.19802673 (https://doi.org/10.5281/zenodo.19802673),</w:t>
      </w:r>
      <w:r>
        <w:t xml:space="preserve"> </w:t>
      </w:r>
      <w:r>
        <w:t xml:space="preserve">indexed against tagged releases on GitHub at</w:t>
      </w:r>
      <w:r>
        <w:t xml:space="preserve"> </w:t>
      </w:r>
      <w:r>
        <w:t xml:space="preserve">https://github.com/holoros/fvs-modern, and built and tested via a</w:t>
      </w:r>
      <w:r>
        <w:t xml:space="preserve"> </w:t>
      </w:r>
      <w:r>
        <w:t xml:space="preserve">GitHub Actions continuous integration pipeline.</w:t>
      </w:r>
    </w:p>
    <w:p>
      <w:pPr>
        <w:pStyle w:val="BodyText"/>
      </w:pPr>
      <w:r>
        <w:t xml:space="preserve">The manuscript is approximately 7,600 words across six sections plus</w:t>
      </w:r>
      <w:r>
        <w:t xml:space="preserve"> </w:t>
      </w:r>
      <w:r>
        <w:t xml:space="preserve">references, with eleven embedded figures. A supplementary materials</w:t>
      </w:r>
      <w:r>
        <w:t xml:space="preserve"> </w:t>
      </w:r>
      <w:r>
        <w:t xml:space="preserve">package provides additional per variant performance plots,</w:t>
      </w:r>
      <w:r>
        <w:t xml:space="preserve"> </w:t>
      </w:r>
      <w:r>
        <w:t xml:space="preserve">calibration diagnostics, posterior architecture notes, and Acadian</w:t>
      </w:r>
      <w:r>
        <w:t xml:space="preserve"> </w:t>
      </w:r>
      <w:r>
        <w:t xml:space="preserve">Bakuzis figures (41 figures, 1,300 words).</w:t>
      </w:r>
    </w:p>
    <w:p>
      <w:pPr>
        <w:pStyle w:val="BodyText"/>
      </w:pPr>
      <w:r>
        <w:t xml:space="preserve">This work has not been published elsewhere and is not under review at</w:t>
      </w:r>
      <w:r>
        <w:t xml:space="preserve"> </w:t>
      </w:r>
      <w:r>
        <w:t xml:space="preserve">another journal. All authors have approved the submission. We</w:t>
      </w:r>
      <w:r>
        <w:t xml:space="preserve"> </w:t>
      </w:r>
      <w:r>
        <w:t xml:space="preserve">declare no competing interests. The manuscript was prepared with AI</w:t>
      </w:r>
      <w:r>
        <w:t xml:space="preserve"> </w:t>
      </w:r>
      <w:r>
        <w:t xml:space="preserve">assistance for structural organization and consistency checking; all</w:t>
      </w:r>
      <w:r>
        <w:t xml:space="preserve"> </w:t>
      </w:r>
      <w:r>
        <w:t xml:space="preserve">scientific judgments and the final text are the responsibility of</w:t>
      </w:r>
      <w:r>
        <w:t xml:space="preserve"> </w:t>
      </w:r>
      <w:r>
        <w:t xml:space="preserve">the authors.</w:t>
      </w:r>
    </w:p>
    <w:p>
      <w:pPr>
        <w:pStyle w:val="BodyText"/>
      </w:pPr>
      <w:r>
        <w:t xml:space="preserve">We suggest the following reviewers based on relevant expertise:</w:t>
      </w:r>
    </w:p>
    <w:p>
      <w:pPr>
        <w:pStyle w:val="Compact"/>
        <w:numPr>
          <w:ilvl w:val="0"/>
          <w:numId w:val="1001"/>
        </w:numPr>
      </w:pPr>
      <w:r>
        <w:t xml:space="preserve">Dr. Malcolm Itter, North Carolina State University (Bayesian</w:t>
      </w:r>
      <w:r>
        <w:t xml:space="preserve"> </w:t>
      </w:r>
      <w:r>
        <w:t xml:space="preserve">growth and yield calibration). Email: msitter@ncsu.edu</w:t>
      </w:r>
    </w:p>
    <w:p>
      <w:pPr>
        <w:pStyle w:val="Compact"/>
        <w:numPr>
          <w:ilvl w:val="0"/>
          <w:numId w:val="1001"/>
        </w:numPr>
      </w:pPr>
      <w:r>
        <w:t xml:space="preserve">Dr. Andrew Finley, Michigan State University (hierarchical models</w:t>
      </w:r>
      <w:r>
        <w:t xml:space="preserve"> </w:t>
      </w:r>
      <w:r>
        <w:t xml:space="preserve">for forest data). Email: finleya@msu.edu</w:t>
      </w:r>
    </w:p>
    <w:p>
      <w:pPr>
        <w:pStyle w:val="Compact"/>
        <w:numPr>
          <w:ilvl w:val="0"/>
          <w:numId w:val="1001"/>
        </w:numPr>
      </w:pPr>
      <w:r>
        <w:t xml:space="preserve">Dr. John Coulston, USDA Forest Service Southern Research Station</w:t>
      </w:r>
      <w:r>
        <w:t xml:space="preserve"> </w:t>
      </w:r>
      <w:r>
        <w:t xml:space="preserve">(FIA program leadership). Email: jcoulston@fs.fed.us</w:t>
      </w:r>
    </w:p>
    <w:p>
      <w:pPr>
        <w:pStyle w:val="Compact"/>
        <w:numPr>
          <w:ilvl w:val="0"/>
          <w:numId w:val="1001"/>
        </w:numPr>
      </w:pPr>
      <w:r>
        <w:t xml:space="preserve">Dr. Hailemariam Temesgen, Oregon State University (G&amp;Y modeling</w:t>
      </w:r>
      <w:r>
        <w:t xml:space="preserve"> </w:t>
      </w:r>
      <w:r>
        <w:t xml:space="preserve">in the Pacific Northwest). Email: hailemariam.temesgen@oregonstate.edu</w:t>
      </w:r>
    </w:p>
    <w:p>
      <w:pPr>
        <w:pStyle w:val="FirstParagraph"/>
      </w:pPr>
      <w:r>
        <w:t xml:space="preserve">We ask that the following reviewers not be approached due to recent</w:t>
      </w:r>
      <w:r>
        <w:t xml:space="preserve"> </w:t>
      </w:r>
      <w:r>
        <w:t xml:space="preserve">collaboration: Drs. Greg Johnson and David Marshall (manuscript</w:t>
      </w:r>
      <w:r>
        <w:t xml:space="preserve"> </w:t>
      </w:r>
      <w:r>
        <w:t xml:space="preserve">co-authors), and any current University of Maine faculty.</w:t>
      </w:r>
    </w:p>
    <w:p>
      <w:pPr>
        <w:pStyle w:val="BodyText"/>
      </w:pPr>
      <w:r>
        <w:t xml:space="preserve">Thank you for considering this submission. We look forward to your</w:t>
      </w:r>
      <w:r>
        <w:t xml:space="preserve"> </w:t>
      </w:r>
      <w:r>
        <w:t xml:space="preserve">editorial decision.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Aaron R. Weiskittel</w:t>
      </w:r>
      <w:r>
        <w:t xml:space="preserve"> </w:t>
      </w:r>
      <w:r>
        <w:t xml:space="preserve">Center for Research on Sustainable Forests</w:t>
      </w:r>
      <w:r>
        <w:t xml:space="preserve"> </w:t>
      </w:r>
      <w:r>
        <w:t xml:space="preserve">University of Maine</w:t>
      </w:r>
      <w:r>
        <w:t xml:space="preserve"> </w:t>
      </w:r>
      <w:r>
        <w:t xml:space="preserve">Orono, ME 04469</w:t>
      </w:r>
      <w:r>
        <w:t xml:space="preserve"> </w:t>
      </w:r>
      <w:r>
        <w:t xml:space="preserve">aaron.weiskittel@maine.edu</w:t>
      </w:r>
      <w:r>
        <w:t xml:space="preserve"> </w:t>
      </w:r>
      <w:r>
        <w:t xml:space="preserve">ORCID: 0000-0002-9249-1686</w:t>
      </w:r>
    </w:p>
    <w:p>
      <w:pPr>
        <w:pStyle w:val="BodyText"/>
      </w:pPr>
      <w:r>
        <w:t xml:space="preserve">On behalf of co-authors:</w:t>
      </w:r>
      <w:r>
        <w:t xml:space="preserve"> </w:t>
      </w:r>
      <w:r>
        <w:t xml:space="preserve">Greg Johnson, Growth Model Users Group</w:t>
      </w:r>
      <w:r>
        <w:t xml:space="preserve"> </w:t>
      </w:r>
      <w:r>
        <w:t xml:space="preserve">David Marshall, USDA Forest Service Pacific Northwest Research Station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Environmental Modelling and Software submission</dc:title>
  <dc:creator/>
  <cp:keywords/>
  <dcterms:created xsi:type="dcterms:W3CDTF">2026-04-27T11:46:18Z</dcterms:created>
  <dcterms:modified xsi:type="dcterms:W3CDTF">2026-04-27T11:46:18Z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</Properties>
</file>