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Self-review report v2: fvs-modern combined manuscript (post-FIA Bakuzis)</w:t>
      </w:r>
    </w:p>
    <w:p>
      <w:pPr>
        <w:pStyle w:val="Subtitle"/>
      </w:pPr>
      <w:r>
        <w:t xml:space="preserve">Internal pre-submission assessment for Environmental Modelling and Software</w:t>
      </w:r>
    </w:p>
    <w:p>
      <w:pPr>
        <w:pStyle w:val="Author"/>
      </w:pPr>
      <w:r>
        <w:t xml:space="preserve">Aaron R. Weiskittel</w:t>
      </w:r>
    </w:p>
    <w:p>
      <w:pPr>
        <w:pStyle w:val="Date"/>
      </w:pPr>
      <w:r>
        <w:t xml:space="preserve">2026-04-26</w:t>
      </w:r>
    </w:p>
    <w:bookmarkStart w:id="20" w:name="header"/>
    <w:p>
      <w:pPr>
        <w:pStyle w:val="Heading1"/>
      </w:pPr>
      <w:r>
        <w:t xml:space="preserve">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</w:t>
            </w:r>
          </w:p>
        </w:tc>
        <w:tc>
          <w:tcPr/>
          <w:p>
            <w:pPr>
              <w:pStyle w:val="Compact"/>
            </w:pPr>
            <w:r>
              <w:t xml:space="preserve">Modernizing and Bayesian recalibrating the Forest Vegetation Simulator: open source infrastructure and parametric uncertainty quantification for 25 geographic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A. R. Weiskittel, G. Johnson, D. Marshall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journal</w:t>
            </w:r>
          </w:p>
        </w:tc>
        <w:tc>
          <w:tcPr/>
          <w:p>
            <w:pPr>
              <w:pStyle w:val="Compact"/>
            </w:pPr>
            <w:r>
              <w:t xml:space="preserve">Environmental Modelling and Software (EMS)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manuscript/fvs_combined_draft.docx (commit 4de8467)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Self-review date</w:t>
            </w:r>
          </w:p>
        </w:tc>
        <w:tc>
          <w:tcPr/>
          <w:p>
            <w:pPr>
              <w:pStyle w:val="Compact"/>
            </w:pPr>
            <w:r>
              <w:t xml:space="preserve">2026-04-26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review</w:t>
            </w:r>
          </w:p>
        </w:tc>
        <w:tc>
          <w:tcPr/>
          <w:p>
            <w:pPr>
              <w:pStyle w:val="Compact"/>
            </w:pPr>
            <w:r>
              <w:t xml:space="preserve">manuscript/20260425_ems_self-review_fvs-modern.md (commit 89ecf0b)</w:t>
            </w:r>
          </w:p>
        </w:tc>
      </w:tr>
    </w:tbl>
    <w:bookmarkEnd w:id="20"/>
    <w:bookmarkStart w:id="21" w:name="section-1.-summary-assessment"/>
    <w:p>
      <w:pPr>
        <w:pStyle w:val="Heading1"/>
      </w:pPr>
      <w:r>
        <w:t xml:space="preserve">Section 1. Summary assessment</w:t>
      </w:r>
    </w:p>
    <w:p>
      <w:pPr>
        <w:pStyle w:val="FirstParagraph"/>
      </w:pPr>
      <w:r>
        <w:t xml:space="preserve">This v2 review re-scores the manuscript after the FIA-stand Bakuzis</w:t>
      </w:r>
      <w:r>
        <w:t xml:space="preserve"> </w:t>
      </w:r>
      <w:r>
        <w:t xml:space="preserve">revision (commit 4de8467). The revision replaced synthetic</w:t>
      </w:r>
      <w:r>
        <w:t xml:space="preserve"> </w:t>
      </w:r>
      <w:r>
        <w:t xml:space="preserve">algorithmic stands with real FIA condition pairs sampled by site</w:t>
      </w:r>
      <w:r>
        <w:t xml:space="preserve"> </w:t>
      </w:r>
      <w:r>
        <w:t xml:space="preserve">index and basal area band, with five plots per cell projected under</w:t>
      </w:r>
      <w:r>
        <w:t xml:space="preserve"> </w:t>
      </w:r>
      <w:r>
        <w:t xml:space="preserve">default, calibrated MAP, and 100 posterior draws. The revision</w:t>
      </w:r>
      <w:r>
        <w:t xml:space="preserve"> </w:t>
      </w:r>
      <w:r>
        <w:t xml:space="preserve">addresses the four primary scientific concerns from the v1 review</w:t>
      </w:r>
      <w:r>
        <w:t xml:space="preserve"> </w:t>
      </w:r>
      <w:r>
        <w:t xml:space="preserve">(V1 validation framing, C2 variant coverage justification, C3 NE</w:t>
      </w:r>
      <w:r>
        <w:t xml:space="preserve"> </w:t>
      </w:r>
      <w:r>
        <w:t xml:space="preserve">Sukachev circular reasoning, GY6 comparative positioning) and</w:t>
      </w:r>
      <w:r>
        <w:t xml:space="preserve"> </w:t>
      </w:r>
      <w:r>
        <w:t xml:space="preserve">preserves the headline finding from the synthetic version:</w:t>
      </w:r>
    </w:p>
    <w:p>
      <w:pPr>
        <w:pStyle w:val="Compact"/>
        <w:numPr>
          <w:ilvl w:val="0"/>
          <w:numId w:val="1001"/>
        </w:numPr>
      </w:pPr>
      <w:r>
        <w:t xml:space="preserve">ACD posterior credible band achieves 50 percent Eichhorn rule</w:t>
      </w:r>
      <w:r>
        <w:t xml:space="preserve"> </w:t>
      </w:r>
      <w:r>
        <w:t xml:space="preserve">compliance on real FIA stands compared with 20 percent for both</w:t>
      </w:r>
      <w:r>
        <w:t xml:space="preserve"> </w:t>
      </w:r>
      <w:r>
        <w:t xml:space="preserve">default and calibrated MAP point estimates. This 2.5-fold uplift</w:t>
      </w:r>
      <w:r>
        <w:t xml:space="preserve"> </w:t>
      </w:r>
      <w:r>
        <w:t xml:space="preserve">is now corroborated on real stands rather than asserted from</w:t>
      </w:r>
      <w:r>
        <w:t xml:space="preserve"> </w:t>
      </w:r>
      <w:r>
        <w:t xml:space="preserve">synthetic stands; it is the strongest single empirical argument</w:t>
      </w:r>
      <w:r>
        <w:t xml:space="preserve"> </w:t>
      </w:r>
      <w:r>
        <w:t xml:space="preserve">for posterior propagation as biological information rather than</w:t>
      </w:r>
      <w:r>
        <w:t xml:space="preserve"> </w:t>
      </w:r>
      <w:r>
        <w:t xml:space="preserve">software plumbing.</w:t>
      </w:r>
    </w:p>
    <w:p>
      <w:pPr>
        <w:pStyle w:val="Compact"/>
        <w:numPr>
          <w:ilvl w:val="0"/>
          <w:numId w:val="1001"/>
        </w:numPr>
      </w:pPr>
      <w:r>
        <w:t xml:space="preserve">NE Sukachev compliance remains 0 percent under all configurations</w:t>
      </w:r>
      <w:r>
        <w:t xml:space="preserve"> </w:t>
      </w:r>
      <w:r>
        <w:t xml:space="preserve">on real FIA stands. The v1 review flagged this as circular</w:t>
      </w:r>
      <w:r>
        <w:t xml:space="preserve"> </w:t>
      </w:r>
      <w:r>
        <w:t xml:space="preserve">reasoning (</w:t>
      </w:r>
      <w:r>
        <w:t xml:space="preserve">“synthetic artifact”</w:t>
      </w:r>
      <w:r>
        <w:t xml:space="preserve"> </w:t>
      </w:r>
      <w:r>
        <w:t xml:space="preserve">was asserted but not demonstrated);</w:t>
      </w:r>
      <w:r>
        <w:t xml:space="preserve"> </w:t>
      </w:r>
      <w:r>
        <w:t xml:space="preserve">the FIA result confirms the 0 percent value is a real property of</w:t>
      </w:r>
      <w:r>
        <w:t xml:space="preserve"> </w:t>
      </w:r>
      <w:r>
        <w:t xml:space="preserve">the NE variant’s self-thinning behavior, not a synthetic stand</w:t>
      </w:r>
      <w:r>
        <w:t xml:space="preserve"> </w:t>
      </w:r>
      <w:r>
        <w:t xml:space="preserve">generator artifact. Section 5.4 was rewritten to reflect this.</w:t>
      </w:r>
    </w:p>
    <w:p>
      <w:pPr>
        <w:pStyle w:val="Compact"/>
        <w:numPr>
          <w:ilvl w:val="0"/>
          <w:numId w:val="1001"/>
        </w:numPr>
      </w:pPr>
      <w:r>
        <w:t xml:space="preserve">Year 100 BA divergence on real FIA stands is small (within plus</w:t>
      </w:r>
      <w:r>
        <w:t xml:space="preserve"> </w:t>
      </w:r>
      <w:r>
        <w:t xml:space="preserve">or minus 1 percent for most cells; one Oak Pine high-high cell</w:t>
      </w:r>
      <w:r>
        <w:t xml:space="preserve"> </w:t>
      </w:r>
      <w:r>
        <w:t xml:space="preserve">reaches -9.6 percent), indicating that on the average Northeast</w:t>
      </w:r>
      <w:r>
        <w:t xml:space="preserve"> </w:t>
      </w:r>
      <w:r>
        <w:t xml:space="preserve">forest the calibrated parameters do not substantially shift</w:t>
      </w:r>
      <w:r>
        <w:t xml:space="preserve"> </w:t>
      </w:r>
      <w:r>
        <w:t xml:space="preserve">long-horizon central tendencies. Section 4.6 was rewritten to</w:t>
      </w:r>
      <w:r>
        <w:t xml:space="preserve"> </w:t>
      </w:r>
      <w:r>
        <w:t xml:space="preserve">clarify that the recalibration’s primary value is uncertainty</w:t>
      </w:r>
      <w:r>
        <w:t xml:space="preserve"> </w:t>
      </w:r>
      <w:r>
        <w:t xml:space="preserve">quantification and component-level accuracy rather than a</w:t>
      </w:r>
      <w:r>
        <w:t xml:space="preserve"> </w:t>
      </w:r>
      <w:r>
        <w:t xml:space="preserve">systematic shift of long-horizon BA predictions.</w:t>
      </w:r>
    </w:p>
    <w:p>
      <w:pPr>
        <w:pStyle w:val="FirstParagraph"/>
      </w:pPr>
      <w:r>
        <w:t xml:space="preserve">Indicative recommendation under v2:</w:t>
      </w:r>
      <w:r>
        <w:t xml:space="preserve"> </w:t>
      </w:r>
      <w:r>
        <w:rPr>
          <w:b/>
          <w:bCs/>
        </w:rPr>
        <w:t xml:space="preserve">Accept (pending Zenodo DOI)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Minor Revision</w:t>
      </w:r>
      <w:r>
        <w:t xml:space="preserve"> </w:t>
      </w:r>
      <w:r>
        <w:t xml:space="preserve">if the corresponding author and EMS editor</w:t>
      </w:r>
      <w:r>
        <w:t xml:space="preserve"> </w:t>
      </w:r>
      <w:r>
        <w:t xml:space="preserve">prefer a final reviewer pass.</w:t>
      </w:r>
    </w:p>
    <w:bookmarkEnd w:id="21"/>
    <w:bookmarkStart w:id="22" w:name="section-2.-resolution-of-v1-major-issues"/>
    <w:p>
      <w:pPr>
        <w:pStyle w:val="Heading1"/>
      </w:pPr>
      <w:r>
        <w:t xml:space="preserve">Section 2. Resolution of v1 major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v1 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v2 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V1 independent validation</w:t>
            </w:r>
          </w:p>
        </w:tc>
        <w:tc>
          <w:tcPr/>
          <w:p>
            <w:pPr>
              <w:pStyle w:val="Compact"/>
            </w:pPr>
            <w:r>
              <w:t xml:space="preserve">RESOLVED. §3.1/§4.3 already reframed in prior commit; FIA Bakuzis adds an independent stratified sample test on real stands.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C1 self-reference</w:t>
            </w:r>
          </w:p>
        </w:tc>
        <w:tc>
          <w:tcPr/>
          <w:p>
            <w:pPr>
              <w:pStyle w:val="Compact"/>
            </w:pPr>
            <w:r>
              <w:t xml:space="preserve">RESOLVED. Crookston and Dixon (2005) cited; assessment language rephrased.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C2 limited Bakuzis variant coverage</w:t>
            </w:r>
          </w:p>
        </w:tc>
        <w:tc>
          <w:tcPr/>
          <w:p>
            <w:pPr>
              <w:pStyle w:val="Compact"/>
            </w:pPr>
            <w:r>
              <w:t xml:space="preserve">PARTIALLY RESOLVED. NE plus ACD with real FIA stands. PN/SN/IE blocked at the FVS shared library load step (undefined symbol</w:t>
            </w:r>
            <w:r>
              <w:t xml:space="preserve"> </w:t>
            </w:r>
            <w:r>
              <w:rPr>
                <w:rStyle w:val="VerbatimChar"/>
              </w:rPr>
              <w:t xml:space="preserve">morcon_</w:t>
            </w:r>
            <w:r>
              <w:t xml:space="preserve">); diagnosis documented in</w:t>
            </w:r>
            <w:r>
              <w:t xml:space="preserve"> </w:t>
            </w:r>
            <w:r>
              <w:rPr>
                <w:rStyle w:val="VerbatimChar"/>
              </w:rPr>
              <w:t xml:space="preserve">calibration/python/PN_SN_LIBRARY_DIAGNOSIS.md</w:t>
            </w:r>
            <w:r>
              <w:t xml:space="preserve">. §5.4 caveat updated.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C3 NE Sukachev circular reasoning</w:t>
            </w:r>
          </w:p>
        </w:tc>
        <w:tc>
          <w:tcPr/>
          <w:p>
            <w:pPr>
              <w:pStyle w:val="Compact"/>
            </w:pPr>
            <w:r>
              <w:t xml:space="preserve">RESOLVED. FIA Bakuzis confirms 0 percent is a real variant property, not synthetic artifact. §4.6 and §5.4 rewritten.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GY6 comparative positioning</w:t>
            </w:r>
          </w:p>
        </w:tc>
        <w:tc>
          <w:tcPr/>
          <w:p>
            <w:pPr>
              <w:pStyle w:val="Compact"/>
            </w:pPr>
            <w:r>
              <w:t xml:space="preserve">RESOLVED. Joo et al. (2025), Premer et al. (2025), Woodall et al. (2025) cited in §1 and §5.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C5 software DOI not minted</w:t>
            </w:r>
          </w:p>
        </w:tc>
        <w:tc>
          <w:tcPr/>
          <w:p>
            <w:pPr>
              <w:pStyle w:val="Compact"/>
            </w:pPr>
            <w:r>
              <w:t xml:space="preserve">OPEN. Zenodo webhook setup pending. One-hour task before submission.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M1 equation forms</w:t>
            </w:r>
          </w:p>
        </w:tc>
        <w:tc>
          <w:tcPr/>
          <w:p>
            <w:pPr>
              <w:pStyle w:val="Compact"/>
            </w:pPr>
            <w:r>
              <w:t xml:space="preserve">RESOLVED. Equations (1)-(7) added in §2.2.</w:t>
            </w:r>
          </w:p>
        </w:tc>
      </w:tr>
    </w:tbl>
    <w:bookmarkEnd w:id="22"/>
    <w:bookmarkStart w:id="23" w:name="section-3.-resolution-of-v1-minor-issues"/>
    <w:p>
      <w:pPr>
        <w:pStyle w:val="Heading1"/>
      </w:pPr>
      <w:r>
        <w:t xml:space="preserve">Section 3. Resolution of v1 minor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v1 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v2 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G3 calibration random seeds</w:t>
            </w:r>
          </w:p>
        </w:tc>
        <w:tc>
          <w:tcPr/>
          <w:p>
            <w:pPr>
              <w:pStyle w:val="Compact"/>
            </w:pPr>
            <w:r>
              <w:t xml:space="preserve">RESOLVED in §2.2 update.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S2b spatial autocorrelation</w:t>
            </w:r>
          </w:p>
        </w:tc>
        <w:tc>
          <w:tcPr/>
          <w:p>
            <w:pPr>
              <w:pStyle w:val="Compact"/>
            </w:pPr>
            <w:r>
              <w:t xml:space="preserve">RESOLVED. SI paragraph on Moran’s I added.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S3 convergence diagnostics</w:t>
            </w:r>
          </w:p>
        </w:tc>
        <w:tc>
          <w:tcPr/>
          <w:p>
            <w:pPr>
              <w:pStyle w:val="Compact"/>
            </w:pPr>
            <w:r>
              <w:t xml:space="preserve">DEFERRED to companion calibration paper SI; cross-reference added.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GY5 climate sensitivity Climate-FVS reference</w:t>
            </w:r>
          </w:p>
        </w:tc>
        <w:tc>
          <w:tcPr/>
          <w:p>
            <w:pPr>
              <w:pStyle w:val="Compact"/>
            </w:pPr>
            <w:r>
              <w:t xml:space="preserve">RESOLVED. Crookston, Rehfeldt, Dixon, Weiskittel (2010) cited in §5.4.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GY2 site index treatment</w:t>
            </w:r>
          </w:p>
        </w:tc>
        <w:tc>
          <w:tcPr/>
          <w:p>
            <w:pPr>
              <w:pStyle w:val="Compact"/>
            </w:pPr>
            <w:r>
              <w:t xml:space="preserve">PARTIALLY RESOLVED. Source and base age noted in §3.1 and §3.3 (FIA SICOND, base age 50).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  <w:r>
              <w:t xml:space="preserve"> </w:t>
            </w:r>
            <w:r>
              <w:t xml:space="preserve">“three framing statistics”</w:t>
            </w:r>
          </w:p>
        </w:tc>
        <w:tc>
          <w:tcPr/>
          <w:p>
            <w:pPr>
              <w:pStyle w:val="Compact"/>
            </w:pPr>
            <w:r>
              <w:t xml:space="preserve">DEFERRED. Author preference; not a blocker.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Generic SI cross references</w:t>
            </w:r>
          </w:p>
        </w:tc>
        <w:tc>
          <w:tcPr/>
          <w:p>
            <w:pPr>
              <w:pStyle w:val="Compact"/>
            </w:pPr>
            <w:r>
              <w:t xml:space="preserve">DEFERRED. Numbered cross-references in revision.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“More than doubled”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N/A this manuscript.</w:t>
            </w:r>
          </w:p>
        </w:tc>
      </w:tr>
    </w:tbl>
    <w:bookmarkEnd w:id="23"/>
    <w:bookmarkStart w:id="24" w:name="X7ee9ff1ca077bdcfe36bb7322baec747262c8d9"/>
    <w:p>
      <w:pPr>
        <w:pStyle w:val="Heading1"/>
      </w:pPr>
      <w:r>
        <w:t xml:space="preserve">Section 4. New v2 observations from the FIA Bakuzis revision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 4.6 prose tightness.</w:t>
      </w:r>
      <w:r>
        <w:t xml:space="preserve"> </w:t>
      </w:r>
      <w:r>
        <w:t xml:space="preserve">The revised §4.6 is information-</w:t>
      </w:r>
      <w:r>
        <w:t xml:space="preserve"> </w:t>
      </w:r>
      <w:r>
        <w:t xml:space="preserve">dense. Consider splitting the long paragraphs into shorter blocks</w:t>
      </w:r>
      <w:r>
        <w:t xml:space="preserve"> </w:t>
      </w:r>
      <w:r>
        <w:t xml:space="preserve">for figures 8-11 individually.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Figure 11 band growth percentage.</w:t>
      </w:r>
      <w:r>
        <w:t xml:space="preserve"> </w:t>
      </w:r>
      <w:r>
        <w:t xml:space="preserve">The revised text states</w:t>
      </w:r>
      <w:r>
        <w:t xml:space="preserve"> </w:t>
      </w:r>
      <w:r>
        <w:t xml:space="preserve">bands grow to 30-50 percent of the median by year 100 (real</w:t>
      </w:r>
      <w:r>
        <w:t xml:space="preserve"> </w:t>
      </w:r>
      <w:r>
        <w:t xml:space="preserve">stands), versus 5-15 percent in the prior synthetic version. This</w:t>
      </w:r>
      <w:r>
        <w:t xml:space="preserve"> </w:t>
      </w:r>
      <w:r>
        <w:t xml:space="preserve">is a substantive shift driven by within-cell stand-to-stand</w:t>
      </w:r>
      <w:r>
        <w:t xml:space="preserve"> </w:t>
      </w:r>
      <w:r>
        <w:t xml:space="preserve">variability now being included in the band. The figure caption</w:t>
      </w:r>
      <w:r>
        <w:t xml:space="preserve"> </w:t>
      </w:r>
      <w:r>
        <w:t xml:space="preserve">and discussion correctly attribute this to stand variability rather</w:t>
      </w:r>
      <w:r>
        <w:t xml:space="preserve"> </w:t>
      </w:r>
      <w:r>
        <w:t xml:space="preserve">than parameter uncertainty alone, but the §5.1 implications</w:t>
      </w:r>
      <w:r>
        <w:t xml:space="preserve"> </w:t>
      </w:r>
      <w:r>
        <w:t xml:space="preserve">paragraph should also note this.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Eichhorn drop on NE.</w:t>
      </w:r>
      <w:r>
        <w:t xml:space="preserve"> </w:t>
      </w:r>
      <w:r>
        <w:t xml:space="preserve">NE Eichhorn compliance is 44 percent</w:t>
      </w:r>
      <w:r>
        <w:t xml:space="preserve"> </w:t>
      </w:r>
      <w:r>
        <w:t xml:space="preserve">under default and MAP and 22 percent under the posterior band.</w:t>
      </w:r>
      <w:r>
        <w:t xml:space="preserve"> </w:t>
      </w:r>
      <w:r>
        <w:t xml:space="preserve">This is the only law where the posterior reduces compliance</w:t>
      </w:r>
      <w:r>
        <w:t xml:space="preserve"> </w:t>
      </w:r>
      <w:r>
        <w:t xml:space="preserve">relative to point estimates. The §4.6 text correctly flags this</w:t>
      </w:r>
      <w:r>
        <w:t xml:space="preserve"> </w:t>
      </w:r>
      <w:r>
        <w:t xml:space="preserve">as warranting targeted refinement of species random effect priors.</w:t>
      </w:r>
      <w:r>
        <w:t xml:space="preserve"> </w:t>
      </w:r>
      <w:r>
        <w:t xml:space="preserve">Consider adding a sentence in §5.5 future work mentioning a</w:t>
      </w:r>
      <w:r>
        <w:t xml:space="preserve"> </w:t>
      </w:r>
      <w:r>
        <w:t xml:space="preserve">targeted prior elicitation experiment for the NE species random</w:t>
      </w:r>
      <w:r>
        <w:t xml:space="preserve"> </w:t>
      </w:r>
      <w:r>
        <w:t xml:space="preserve">intercepts.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Marshall CSV adapter committed but unused.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marshall_to_fia_csv.py</w:t>
      </w:r>
      <w:r>
        <w:t xml:space="preserve"> </w:t>
      </w:r>
      <w:r>
        <w:t xml:space="preserve">adapter is in the repo for future PN/SN/IE</w:t>
      </w:r>
      <w:r>
        <w:t xml:space="preserve"> </w:t>
      </w:r>
      <w:r>
        <w:t xml:space="preserve">FIA stratified sampling. It cannot be exercised until the FVS-PN/SN</w:t>
      </w:r>
      <w:r>
        <w:t xml:space="preserve"> </w:t>
      </w:r>
      <w:r>
        <w:t xml:space="preserve">library issues are resolved. The §5.4 limitation paragraph and the</w:t>
      </w:r>
      <w:r>
        <w:t xml:space="preserve"> </w:t>
      </w:r>
      <w:r>
        <w:rPr>
          <w:rStyle w:val="VerbatimChar"/>
        </w:rPr>
        <w:t xml:space="preserve">PN_SN_LIBRARY_DIAGNOSIS.md</w:t>
      </w:r>
      <w:r>
        <w:t xml:space="preserve"> </w:t>
      </w:r>
      <w:r>
        <w:t xml:space="preserve">note adequately document this.</w:t>
      </w:r>
    </w:p>
    <w:bookmarkEnd w:id="24"/>
    <w:bookmarkStart w:id="30" w:name="section-5.-updated-checklists"/>
    <w:p>
      <w:pPr>
        <w:pStyle w:val="Heading1"/>
      </w:pPr>
      <w:r>
        <w:t xml:space="preserve">Section 5. Updated checklists</w:t>
      </w:r>
    </w:p>
    <w:bookmarkStart w:id="25" w:name="general"/>
    <w:p>
      <w:pPr>
        <w:pStyle w:val="Heading2"/>
      </w:pPr>
      <w:r>
        <w:t xml:space="preserve">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PARTIAL (DOI)</w:t>
            </w:r>
          </w:p>
        </w:tc>
        <w:tc>
          <w:tcPr/>
          <w:p>
            <w:pPr>
              <w:pStyle w:val="Compact"/>
            </w:pPr>
            <w:r>
              <w:t xml:space="preserve">PARTIAL (DOI still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Software/version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Random seeds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5"/>
    <w:bookmarkStart w:id="26" w:name="statistical"/>
    <w:p>
      <w:pPr>
        <w:pStyle w:val="Heading2"/>
      </w:pPr>
      <w:r>
        <w:t xml:space="preserve">Statistical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Tests appropriate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S2b</w:t>
            </w:r>
          </w:p>
        </w:tc>
        <w:tc>
          <w:tcPr/>
          <w:p>
            <w:pPr>
              <w:pStyle w:val="Compact"/>
            </w:pPr>
            <w:r>
              <w:t xml:space="preserve">Spatial autocorrelation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Assumptions tested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 (deferred to companion)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Credible intervals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Statistical vs practical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6"/>
    <w:bookmarkStart w:id="27" w:name="mathematical"/>
    <w:p>
      <w:pPr>
        <w:pStyle w:val="Heading2"/>
      </w:pPr>
      <w:r>
        <w:t xml:space="preserve">Mathematical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Equations numbered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Parameter estimates with SE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MET (SI architecture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Notation consistency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7"/>
    <w:bookmarkStart w:id="28" w:name="validation"/>
    <w:p>
      <w:pPr>
        <w:pStyle w:val="Heading2"/>
      </w:pPr>
      <w:r>
        <w:t xml:space="preserve">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Independent validation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MET (reframed plus FIA Bakuzis)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Validation metrics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Residual diagnostics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 (SI numbered refs deferred)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Validation sample size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8"/>
    <w:bookmarkStart w:id="29" w:name="growth-and-yield-modeling"/>
    <w:p>
      <w:pPr>
        <w:pStyle w:val="Heading2"/>
      </w:pPr>
      <w:r>
        <w:t xml:space="preserve">Growth and yield modeling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GY1</w:t>
            </w:r>
          </w:p>
        </w:tc>
        <w:tc>
          <w:tcPr/>
          <w:p>
            <w:pPr>
              <w:pStyle w:val="Compact"/>
            </w:pPr>
            <w:r>
              <w:t xml:space="preserve">Component model forms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MET (equations 1-7)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GY2</w:t>
            </w:r>
          </w:p>
        </w:tc>
        <w:tc>
          <w:tcPr/>
          <w:p>
            <w:pPr>
              <w:pStyle w:val="Compact"/>
            </w:pPr>
            <w:r>
              <w:t xml:space="preserve">Site index treatment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MET (SICOND base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GY3</w:t>
            </w:r>
          </w:p>
        </w:tc>
        <w:tc>
          <w:tcPr/>
          <w:p>
            <w:pPr>
              <w:pStyle w:val="Compact"/>
            </w:pPr>
            <w:r>
              <w:t xml:space="preserve">Stand density treatment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GY4</w:t>
            </w:r>
          </w:p>
        </w:tc>
        <w:tc>
          <w:tcPr/>
          <w:p>
            <w:pPr>
              <w:pStyle w:val="Compact"/>
            </w:pPr>
            <w:r>
              <w:t xml:space="preserve">Long-horizon stability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MET (FIA Bakuzis trajectories)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GY5</w:t>
            </w:r>
          </w:p>
        </w:tc>
        <w:tc>
          <w:tcPr/>
          <w:p>
            <w:pPr>
              <w:pStyle w:val="Compact"/>
            </w:pPr>
            <w:r>
              <w:t xml:space="preserve">Climate sensitivity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MET (Climate-FVS 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GY6</w:t>
            </w:r>
          </w:p>
        </w:tc>
        <w:tc>
          <w:tcPr/>
          <w:p>
            <w:pPr>
              <w:pStyle w:val="Compact"/>
            </w:pPr>
            <w:r>
              <w:t xml:space="preserve">Comparison to alternatives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MET (Joo, Premer, Woodall)</w:t>
            </w:r>
          </w:p>
        </w:tc>
      </w:tr>
    </w:tbl>
    <w:bookmarkEnd w:id="29"/>
    <w:bookmarkEnd w:id="30"/>
    <w:bookmarkStart w:id="31" w:name="section-6.-updated-scoring"/>
    <w:p>
      <w:pPr>
        <w:pStyle w:val="Heading1"/>
      </w:pPr>
      <w:r>
        <w:t xml:space="preserve">Section 6. Updated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646"/>
        <w:gridCol w:w="646"/>
        <w:gridCol w:w="1939"/>
        <w:gridCol w:w="29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v2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Originality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Integration novelty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Significance to 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Methodological rigor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M1 equations, S2b autocorrelation, V1 reframing all closed.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Statistical appropriateness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Unchanged; HMC plus ADVI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Reproducibility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DOI still pending (only blocker).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Model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FIA stratified sampling on real stands removes the synthetic artifact concern entirely.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Literature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All six recommended 2025 citations and the Crookston references inserted.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Interpretation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NE Sukachev now confirmed as variant property; ACD posterior Eichhorn corroborated on real stands.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 Writing clarity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§4.6 dense but readable.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 Figures and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Per-variant rendering added; figures clean.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score: v1 = 3.7, v2 = 4.5.</w:t>
      </w:r>
      <w:r>
        <w:t xml:space="preserve"> </w:t>
      </w:r>
      <w:r>
        <w:t xml:space="preserve">Indicative recommendation</w:t>
      </w:r>
      <w:r>
        <w:t xml:space="preserve"> </w:t>
      </w:r>
      <w:r>
        <w:t xml:space="preserve">under v2: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if the corresponding author is comfortable</w:t>
      </w:r>
      <w:r>
        <w:t xml:space="preserve"> </w:t>
      </w:r>
      <w:r>
        <w:t xml:space="preserve">proceeding without a final external reviewer pre-pass;</w:t>
      </w:r>
      <w:r>
        <w:t xml:space="preserve"> </w:t>
      </w:r>
      <w:r>
        <w:rPr>
          <w:b/>
          <w:bCs/>
        </w:rPr>
        <w:t xml:space="preserve">Minor</w:t>
      </w:r>
      <w:r>
        <w:rPr>
          <w:b/>
          <w:bCs/>
        </w:rPr>
        <w:t xml:space="preserve"> </w:t>
      </w:r>
      <w:r>
        <w:rPr>
          <w:b/>
          <w:bCs/>
        </w:rPr>
        <w:t xml:space="preserve">Revision</w:t>
      </w:r>
      <w:r>
        <w:t xml:space="preserve"> </w:t>
      </w:r>
      <w:r>
        <w:t xml:space="preserve">if a final reviewer round is preferred for stylistic</w:t>
      </w:r>
      <w:r>
        <w:t xml:space="preserve"> </w:t>
      </w:r>
      <w:r>
        <w:t xml:space="preserve">polish.</w:t>
      </w:r>
    </w:p>
    <w:bookmarkEnd w:id="31"/>
    <w:bookmarkStart w:id="32" w:name="section-7.-pre-submission-checklist"/>
    <w:p>
      <w:pPr>
        <w:pStyle w:val="Heading1"/>
      </w:pPr>
      <w:r>
        <w:t xml:space="preserve">Section 7. Pre-submission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FIA Bakuzis numbers in §4.6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§3.3 methods updated for FIA path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limitations updated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regenerated (NE plus ACD)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 docx regenerated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pushed to origin/main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 webhook enabled</w:t>
            </w:r>
          </w:p>
        </w:tc>
        <w:tc>
          <w:tcPr/>
          <w:p>
            <w:pPr>
              <w:pStyle w:val="Compact"/>
            </w:pPr>
            <w:r>
              <w:t xml:space="preserve">TODO 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tag minted (v2026.05.1)</w:t>
            </w:r>
          </w:p>
        </w:tc>
        <w:tc>
          <w:tcPr/>
          <w:p>
            <w:pPr>
              <w:pStyle w:val="Compact"/>
            </w:pPr>
            <w:r>
              <w:t xml:space="preserve">TODO (this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 replaces placeholder in software availability block</w:t>
            </w:r>
          </w:p>
        </w:tc>
        <w:tc>
          <w:tcPr/>
          <w:p>
            <w:pPr>
              <w:pStyle w:val="Compact"/>
            </w:pPr>
            <w:r>
              <w:t xml:space="preserve">TODO (after Zenodo)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Co-author final review</w:t>
            </w:r>
          </w:p>
        </w:tc>
        <w:tc>
          <w:tcPr/>
          <w:p>
            <w:pPr>
              <w:pStyle w:val="Compact"/>
            </w:pPr>
            <w:r>
              <w:t xml:space="preserve">TODO (after author distribution)</w:t>
            </w:r>
          </w:p>
        </w:tc>
      </w:tr>
    </w:tbl>
    <w:bookmarkEnd w:id="32"/>
    <w:bookmarkStart w:id="33" w:name="disclosure"/>
    <w:p>
      <w:pPr>
        <w:pStyle w:val="Heading1"/>
      </w:pPr>
      <w:r>
        <w:t xml:space="preserve">Disclosure</w:t>
      </w:r>
    </w:p>
    <w:p>
      <w:pPr>
        <w:pStyle w:val="FirstParagraph"/>
      </w:pPr>
      <w:r>
        <w:t xml:space="preserve">This v2 self-assessment was conducted by the corresponding author</w:t>
      </w:r>
      <w:r>
        <w:t xml:space="preserve"> </w:t>
      </w:r>
      <w:r>
        <w:t xml:space="preserve">using the manuscript-review framework with AI assistance for</w:t>
      </w:r>
      <w:r>
        <w:t xml:space="preserve"> </w:t>
      </w:r>
      <w:r>
        <w:t xml:space="preserve">structural organization and consistency checking. All scientific</w:t>
      </w:r>
      <w:r>
        <w:t xml:space="preserve"> </w:t>
      </w:r>
      <w:r>
        <w:t xml:space="preserve">judgments and the indicative recommendation are the responsibility</w:t>
      </w:r>
      <w:r>
        <w:t xml:space="preserve"> </w:t>
      </w:r>
      <w:r>
        <w:t xml:space="preserve">of the corresponding author. Manuscript content was processed only</w:t>
      </w:r>
      <w:r>
        <w:t xml:space="preserve"> </w:t>
      </w:r>
      <w:r>
        <w:t xml:space="preserve">within the local workspace; no external submission to AI services</w:t>
      </w:r>
      <w:r>
        <w:t xml:space="preserve"> </w:t>
      </w:r>
      <w:r>
        <w:t xml:space="preserve">occurred.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Self-review report v2: fvs-modern combined manuscript (post-FIA Bakuzis)</dc:title>
  <dc:creator>Aaron R. Weiskittel</dc:creator>
  <cp:keywords/>
  <dcterms:created xsi:type="dcterms:W3CDTF">2026-04-26T12:55:59Z</dcterms:created>
  <dcterms:modified xsi:type="dcterms:W3CDTF">2026-04-26T12:55:59Z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subtitle">
    <vt:lpwstr>Internal pre-submission assessment for Environmental Modelling and Software</vt:lpwstr>
  </property>
</Properties>
</file>