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Self-review report v3: fvs-modern combined manuscript (post-revision)</w:t>
      </w:r>
    </w:p>
    <w:p>
      <w:pPr>
        <w:pStyle w:val="Subtitle"/>
      </w:pPr>
      <w:r>
        <w:t xml:space="preserve">Internal pre-submission assessment for Environmental Modelling and Software</w:t>
      </w:r>
    </w:p>
    <w:p>
      <w:pPr>
        <w:pStyle w:val="Author"/>
      </w:pPr>
      <w:r>
        <w:t xml:space="preserve">Aaron R. Weiskittel</w:t>
      </w:r>
    </w:p>
    <w:p>
      <w:pPr>
        <w:pStyle w:val="Date"/>
      </w:pPr>
      <w:r>
        <w:t xml:space="preserve">2026-04-26</w:t>
      </w:r>
    </w:p>
    <w:bookmarkStart w:id="20" w:name="header"/>
    <w:p>
      <w:pPr>
        <w:pStyle w:val="Heading1"/>
      </w:pPr>
      <w:r>
        <w:t xml:space="preserve">Header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Manuscript</w:t>
            </w:r>
          </w:p>
        </w:tc>
        <w:tc>
          <w:tcPr/>
          <w:p>
            <w:pPr>
              <w:pStyle w:val="Compact"/>
            </w:pPr>
            <w:r>
              <w:t xml:space="preserve">Modernizing and Bayesian recalibrating the Forest Vegetation Simulator: open source infrastructure and parametric uncertainty quantification for 25 geographic 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A. R. Weiskittel, G. Johnson, D. Marshall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journal</w:t>
            </w:r>
          </w:p>
        </w:tc>
        <w:tc>
          <w:tcPr/>
          <w:p>
            <w:pPr>
              <w:pStyle w:val="Compact"/>
            </w:pPr>
            <w:r>
              <w:t xml:space="preserve">Environmental Modelling and Software (EMS)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manuscript/fvs_combined_draft.docx (commit on origin/main)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Self-review date</w:t>
            </w:r>
          </w:p>
        </w:tc>
        <w:tc>
          <w:tcPr/>
          <w:p>
            <w:pPr>
              <w:pStyle w:val="Compact"/>
            </w:pPr>
            <w:r>
              <w:t xml:space="preserve">2026-04-26 (v3)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reviews</w:t>
            </w:r>
          </w:p>
        </w:tc>
        <w:tc>
          <w:tcPr/>
          <w:p>
            <w:pPr>
              <w:pStyle w:val="Compact"/>
            </w:pPr>
            <w:r>
              <w:t xml:space="preserve">v1 manuscript/20260425_ems_self-review_fvs-modern.md; v2 manuscript/20260426_ems_self-review_fvs-modern_v2.docx</w:t>
            </w:r>
          </w:p>
        </w:tc>
      </w:tr>
    </w:tbl>
    <w:bookmarkEnd w:id="20"/>
    <w:bookmarkStart w:id="21" w:name="section-1.-summary-assessment"/>
    <w:p>
      <w:pPr>
        <w:pStyle w:val="Heading1"/>
      </w:pPr>
      <w:r>
        <w:t xml:space="preserve">Section 1. Summary assessment</w:t>
      </w:r>
    </w:p>
    <w:p>
      <w:pPr>
        <w:pStyle w:val="FirstParagraph"/>
      </w:pPr>
      <w:r>
        <w:t xml:space="preserve">This v3 self-review re-runs the manuscript-review skill across all</w:t>
      </w:r>
      <w:r>
        <w:t xml:space="preserve"> </w:t>
      </w:r>
      <w:r>
        <w:t xml:space="preserve">five modules following the v2026.05.3 release with minted Zenodo</w:t>
      </w:r>
      <w:r>
        <w:t xml:space="preserve"> </w:t>
      </w:r>
      <w:r>
        <w:t xml:space="preserve">DOI 10.5281/zenodo.19802673. Six targeted revisions were applied as</w:t>
      </w:r>
      <w:r>
        <w:t xml:space="preserve"> </w:t>
      </w:r>
      <w:r>
        <w:t xml:space="preserve">the review proceeded, listed in section 2 below. The manuscript now</w:t>
      </w:r>
      <w:r>
        <w:t xml:space="preserve"> </w:t>
      </w:r>
      <w:r>
        <w:t xml:space="preserve">totals 7,617 words across 1,062 lines, with eleven embedded figures</w:t>
      </w:r>
      <w:r>
        <w:t xml:space="preserve"> </w:t>
      </w:r>
      <w:r>
        <w:t xml:space="preserve">and a complete reference list of 17 entries.</w:t>
      </w:r>
    </w:p>
    <w:p>
      <w:pPr>
        <w:pStyle w:val="BodyText"/>
      </w:pPr>
      <w:r>
        <w:t xml:space="preserve">The headline scientific contribution is unchanged: ACD posterior</w:t>
      </w:r>
      <w:r>
        <w:t xml:space="preserve"> </w:t>
      </w:r>
      <w:r>
        <w:t xml:space="preserve">credible band achieves 50 percent Eichhorn rule compliance versus</w:t>
      </w:r>
      <w:r>
        <w:t xml:space="preserve"> </w:t>
      </w:r>
      <w:r>
        <w:t xml:space="preserve">20 percent for both default and MAP point estimates on real FIA</w:t>
      </w:r>
      <w:r>
        <w:t xml:space="preserve"> </w:t>
      </w:r>
      <w:r>
        <w:t xml:space="preserve">stands, providing the strongest single empirical argument for</w:t>
      </w:r>
      <w:r>
        <w:t xml:space="preserve"> </w:t>
      </w:r>
      <w:r>
        <w:t xml:space="preserve">posterior parameter propagation as biological information rather</w:t>
      </w:r>
      <w:r>
        <w:t xml:space="preserve"> </w:t>
      </w:r>
      <w:r>
        <w:t xml:space="preserve">than software plumbing.</w:t>
      </w:r>
    </w:p>
    <w:p>
      <w:pPr>
        <w:pStyle w:val="BodyText"/>
      </w:pPr>
      <w:r>
        <w:t xml:space="preserve">Indicative recommendation under v3:</w:t>
      </w:r>
      <w:r>
        <w:t xml:space="preserve"> </w:t>
      </w:r>
      <w:r>
        <w:rPr>
          <w:b/>
          <w:bCs/>
        </w:rPr>
        <w:t xml:space="preserve">Accept</w:t>
      </w:r>
      <w:r>
        <w:t xml:space="preserve">.</w:t>
      </w:r>
    </w:p>
    <w:bookmarkEnd w:id="21"/>
    <w:bookmarkStart w:id="22" w:name="Xb23b4f5567db7406775f1f445c313dc9824f8fb"/>
    <w:p>
      <w:pPr>
        <w:pStyle w:val="Heading1"/>
      </w:pPr>
      <w:r>
        <w:t xml:space="preserve">Section 2. Revisions applied during this review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2160"/>
        <w:gridCol w:w="240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Abstract over-claimed</w:t>
            </w:r>
            <w:r>
              <w:t xml:space="preserve"> </w:t>
            </w:r>
            <w:r>
              <w:t xml:space="preserve">“exposes the four classical biological laws”</w:t>
            </w:r>
            <w:r>
              <w:t xml:space="preserve"> </w:t>
            </w:r>
            <w:r>
              <w:t xml:space="preserve">when one of four (mortality size pattern) is deferred.</w:t>
            </w:r>
          </w:p>
        </w:tc>
        <w:tc>
          <w:tcPr/>
          <w:p>
            <w:pPr>
              <w:pStyle w:val="Compact"/>
            </w:pPr>
            <w:r>
              <w:t xml:space="preserve">Abstract, paragraph 4</w:t>
            </w:r>
          </w:p>
        </w:tc>
        <w:tc>
          <w:tcPr/>
          <w:p>
            <w:pPr>
              <w:pStyle w:val="Compact"/>
            </w:pPr>
            <w:r>
              <w:t xml:space="preserve">Reframed as</w:t>
            </w:r>
            <w:r>
              <w:t xml:space="preserve"> </w:t>
            </w:r>
            <w:r>
              <w:t xml:space="preserve">“tests three of the four classical biological laws”</w:t>
            </w:r>
            <w:r>
              <w:t xml:space="preserve"> </w:t>
            </w:r>
            <w:r>
              <w:t xml:space="preserve">with the fourth flagged as a design element.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§2.2 stated</w:t>
            </w:r>
            <w:r>
              <w:t xml:space="preserve"> </w:t>
            </w:r>
            <w:r>
              <w:t xml:space="preserve">“500 joint posterior samples”</w:t>
            </w:r>
            <w:r>
              <w:t xml:space="preserve"> </w:t>
            </w:r>
            <w:r>
              <w:t xml:space="preserve">without explaining how 500 relates to the 4,000 retained MCMC iterations or how downstream tools choose draw counts.</w:t>
            </w:r>
          </w:p>
        </w:tc>
        <w:tc>
          <w:tcPr/>
          <w:p>
            <w:pPr>
              <w:pStyle w:val="Compact"/>
            </w:pPr>
            <w:r>
              <w:t xml:space="preserve">§2.2 paragraph after equations</w:t>
            </w:r>
          </w:p>
        </w:tc>
        <w:tc>
          <w:tcPr/>
          <w:p>
            <w:pPr>
              <w:pStyle w:val="Compact"/>
            </w:pPr>
            <w:r>
              <w:t xml:space="preserve">Added explicit text:</w:t>
            </w:r>
            <w:r>
              <w:t xml:space="preserve"> </w:t>
            </w:r>
            <w:r>
              <w:t xml:space="preserve">“thinned by simple uniform subsampling from the 4,000 retained MCMC iterations”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“Downstream ensemble runs typically consume between 50 and 500 of these joint draws… the FIA Bakuzis evaluation reported here used 100 draws.”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§4.4 Figure 6 envelope source was unclear; readers might confuse the residual bootstrap with the §4.6 parametric posterior credible band.</w:t>
            </w:r>
          </w:p>
        </w:tc>
        <w:tc>
          <w:tcPr/>
          <w:p>
            <w:pPr>
              <w:pStyle w:val="Compact"/>
            </w:pPr>
            <w:r>
              <w:t xml:space="preserve">§4.4 first paragraph</w:t>
            </w:r>
          </w:p>
        </w:tc>
        <w:tc>
          <w:tcPr/>
          <w:p>
            <w:pPr>
              <w:pStyle w:val="Compact"/>
            </w:pPr>
            <w:r>
              <w:t xml:space="preserve">Added prose:</w:t>
            </w:r>
            <w:r>
              <w:t xml:space="preserve"> </w:t>
            </w:r>
            <w:r>
              <w:t xml:space="preserve">“The envelope here is a non parametric bootstrap of FIA benchmark residuals… distinct from the parametric posterior credible band in section 4.6: the bootstrap captures empirical prediction error… whereas the posterior band captures parameter uncertainty propagated through the model.”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§5.3 Computational resources mixed synthetic (single-stand) and FIA-mode (five-stand) Bakuzis cost figures without distinction.</w:t>
            </w:r>
          </w:p>
        </w:tc>
        <w:tc>
          <w:tcPr/>
          <w:p>
            <w:pPr>
              <w:pStyle w:val="Compact"/>
            </w:pPr>
            <w:r>
              <w:t xml:space="preserve">§5.3 final paragraph</w:t>
            </w:r>
          </w:p>
        </w:tc>
        <w:tc>
          <w:tcPr/>
          <w:p>
            <w:pPr>
              <w:pStyle w:val="Compact"/>
            </w:pPr>
            <w:r>
              <w:t xml:space="preserve">Clarified that the 80 CPU minutes / 5 hour figures are for the synthetic single-stand design; the FIA-mode five-plot evaluation at 100 draws runs in 30-60 wall clock minutes.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§3.1 omitted explicit site index treatment (GY2 checklist item).</w:t>
            </w:r>
          </w:p>
        </w:tc>
        <w:tc>
          <w:tcPr/>
          <w:p>
            <w:pPr>
              <w:pStyle w:val="Compact"/>
            </w:pPr>
            <w:r>
              <w:t xml:space="preserve">§3.1 second paragraph</w:t>
            </w:r>
          </w:p>
        </w:tc>
        <w:tc>
          <w:tcPr/>
          <w:p>
            <w:pPr>
              <w:pStyle w:val="Compact"/>
            </w:pPr>
            <w:r>
              <w:t xml:space="preserve">Added:</w:t>
            </w:r>
            <w:r>
              <w:t xml:space="preserve"> </w:t>
            </w:r>
            <w:r>
              <w:t xml:space="preserve">“Site index for each condition is taken from the FIA SICOND field referenced to a base age of 50 years (FIA SIBASE = 50)… conditions reporting a non-50 base age were excluded from the benchmark.”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Reynolds (1984) listed in references but not cited in body (Module 4 dead reference).</w:t>
            </w:r>
          </w:p>
        </w:tc>
        <w:tc>
          <w:tcPr/>
          <w:p>
            <w:pPr>
              <w:pStyle w:val="Compact"/>
            </w:pPr>
            <w:r>
              <w:t xml:space="preserve">§3.1 equivalence metric paragraph</w:t>
            </w:r>
          </w:p>
        </w:tc>
        <w:tc>
          <w:tcPr/>
          <w:p>
            <w:pPr>
              <w:pStyle w:val="Compact"/>
            </w:pPr>
            <w:r>
              <w:t xml:space="preserve">Cited Reynolds (1984) as the methodological foundation for the 20 percent equivalence metric.</w:t>
            </w:r>
          </w:p>
        </w:tc>
      </w:tr>
    </w:tbl>
    <w:bookmarkEnd w:id="22"/>
    <w:bookmarkStart w:id="23" w:name="X04ede68962545658c6ba5fbfda6d397e53b2ee4"/>
    <w:p>
      <w:pPr>
        <w:pStyle w:val="Heading1"/>
      </w:pPr>
      <w:r>
        <w:t xml:space="preserve">Section 3. Resolution of v1 and v2 issues</w:t>
      </w:r>
    </w:p>
    <w:p>
      <w:pPr>
        <w:pStyle w:val="FirstParagraph"/>
      </w:pPr>
      <w:r>
        <w:t xml:space="preserve">All major concerns from the v1 and v2 reviews remain addressed in</w:t>
      </w:r>
      <w:r>
        <w:t xml:space="preserve"> </w:t>
      </w:r>
      <w:r>
        <w:t xml:space="preserve">this revision. The DOI is now resolvable (10.5281/zenodo.19802673);</w:t>
      </w:r>
      <w:r>
        <w:t xml:space="preserve"> </w:t>
      </w:r>
      <w:r>
        <w:t xml:space="preserve">all six 2025 citations are present; equation forms are numbered;</w:t>
      </w:r>
      <w:r>
        <w:t xml:space="preserve"> </w:t>
      </w:r>
      <w:r>
        <w:t xml:space="preserve">spatial autocorrelation is explicitly noted as a recommended</w:t>
      </w:r>
      <w:r>
        <w:t xml:space="preserve"> </w:t>
      </w:r>
      <w:r>
        <w:t xml:space="preserve">extension; random seeds are stated; the Climate-FVS reference is</w:t>
      </w:r>
      <w:r>
        <w:t xml:space="preserve"> </w:t>
      </w:r>
      <w:r>
        <w:t xml:space="preserve">present; comparative positioning vs Joo, Premer, Woodall is in</w:t>
      </w:r>
      <w:r>
        <w:t xml:space="preserve"> </w:t>
      </w:r>
      <w:r>
        <w:t xml:space="preserve">§5.1; CRediT and competing interests are present.</w:t>
      </w:r>
    </w:p>
    <w:bookmarkEnd w:id="23"/>
    <w:bookmarkStart w:id="24" w:name="section-4.-new-v3-observations"/>
    <w:p>
      <w:pPr>
        <w:pStyle w:val="Heading1"/>
      </w:pPr>
      <w:r>
        <w:t xml:space="preserve">Section 4. New v3 observations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§2.2 random seeds discipline</w:t>
      </w:r>
      <w:r>
        <w:t xml:space="preserve">. The seed convention `20260201</w:t>
      </w:r>
    </w:p>
    <w:p>
      <w:pPr>
        <w:pStyle w:val="Compact"/>
        <w:numPr>
          <w:ilvl w:val="1"/>
          <w:numId w:val="1002"/>
        </w:numPr>
      </w:pPr>
      <w:r>
        <w:t xml:space="preserve">chain_index` is appropriately specific. No further change.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§3.1 spatial autocorrelation deferral</w:t>
      </w:r>
      <w:r>
        <w:t xml:space="preserve">. The honest statement</w:t>
      </w:r>
      <w:r>
        <w:t xml:space="preserve"> </w:t>
      </w:r>
      <w:r>
        <w:t xml:space="preserve">that Moran’s I was not computed and the explicit recommendation</w:t>
      </w:r>
      <w:r>
        <w:t xml:space="preserve"> </w:t>
      </w:r>
      <w:r>
        <w:t xml:space="preserve">for a follow-up extension is sufficient for the present scope.</w:t>
      </w:r>
      <w:r>
        <w:t xml:space="preserve"> </w:t>
      </w:r>
      <w:r>
        <w:t xml:space="preserve">The Cardinal pipeline supports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Abstract symmetry</w:t>
      </w:r>
      <w:r>
        <w:t xml:space="preserve">. The abstract now claims</w:t>
      </w:r>
      <w:r>
        <w:t xml:space="preserve"> </w:t>
      </w:r>
      <w:r>
        <w:t xml:space="preserve">“internal FIA</w:t>
      </w:r>
      <w:r>
        <w:t xml:space="preserve"> </w:t>
      </w:r>
      <w:r>
        <w:t xml:space="preserve">benchmark”</w:t>
      </w:r>
      <w:r>
        <w:t xml:space="preserve"> </w:t>
      </w:r>
      <w:r>
        <w:t xml:space="preserve">which is consistent with §3.1 honest framing and §4.3</w:t>
      </w:r>
      <w:r>
        <w:t xml:space="preserve"> </w:t>
      </w:r>
      <w:r>
        <w:t xml:space="preserve">numerical results.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Figure 6 envelope vs Figure 8 ribbon</w:t>
      </w:r>
      <w:r>
        <w:t xml:space="preserve">. After R3, the two</w:t>
      </w:r>
      <w:r>
        <w:t xml:space="preserve"> </w:t>
      </w:r>
      <w:r>
        <w:t xml:space="preserve">uncertainty representations are clearly differentiated in prose.</w:t>
      </w:r>
      <w:r>
        <w:t xml:space="preserve"> </w:t>
      </w:r>
      <w:r>
        <w:t xml:space="preserve">The figures themselves are unmodified; only the surrounding</w:t>
      </w:r>
      <w:r>
        <w:t xml:space="preserve"> </w:t>
      </w:r>
      <w:r>
        <w:t xml:space="preserve">discussion was clarified.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PN/SN/IE coverage caveats</w:t>
      </w:r>
      <w:r>
        <w:t xml:space="preserve">. §5.4 limitations now correctly</w:t>
      </w:r>
      <w:r>
        <w:t xml:space="preserve"> </w:t>
      </w:r>
      <w:r>
        <w:t xml:space="preserve">describes the FVS-PN/SN/IE state: shared libraries build cleanly</w:t>
      </w:r>
      <w:r>
        <w:t xml:space="preserve"> </w:t>
      </w:r>
      <w:r>
        <w:t xml:space="preserve">and load via ctypes, but the runtime keyword reader EOF affects</w:t>
      </w:r>
      <w:r>
        <w:t xml:space="preserve"> </w:t>
      </w:r>
      <w:r>
        <w:t xml:space="preserve">all three variants and is documented as future work. No change</w:t>
      </w:r>
      <w:r>
        <w:t xml:space="preserve"> </w:t>
      </w:r>
      <w:r>
        <w:t xml:space="preserve">to §5.4 needed in this revision.</w:t>
      </w:r>
    </w:p>
    <w:bookmarkEnd w:id="24"/>
    <w:bookmarkStart w:id="30" w:name="section-5.-updated-checklists"/>
    <w:p>
      <w:pPr>
        <w:pStyle w:val="Heading1"/>
      </w:pPr>
      <w:r>
        <w:t xml:space="preserve">Section 5. Updated checklists</w:t>
      </w:r>
    </w:p>
    <w:bookmarkStart w:id="25" w:name="general"/>
    <w:p>
      <w:pPr>
        <w:pStyle w:val="Heading2"/>
      </w:pPr>
      <w:r>
        <w:t xml:space="preserve">General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Software/version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Random seeds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</w:tbl>
    <w:bookmarkEnd w:id="25"/>
    <w:bookmarkStart w:id="26" w:name="statistical"/>
    <w:p>
      <w:pPr>
        <w:pStyle w:val="Heading2"/>
      </w:pPr>
      <w:r>
        <w:t xml:space="preserve">Statistical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Tests appropriate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Sample size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S2b</w:t>
            </w:r>
          </w:p>
        </w:tc>
        <w:tc>
          <w:tcPr/>
          <w:p>
            <w:pPr>
              <w:pStyle w:val="Compact"/>
            </w:pPr>
            <w:r>
              <w:t xml:space="preserve">Spatial autocorrelation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 (deferral acknowledged)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Assumptions tested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 (cross-ref to companion)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Credible intervals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Statistical vs practical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</w:tbl>
    <w:bookmarkEnd w:id="26"/>
    <w:bookmarkStart w:id="27" w:name="mathematical"/>
    <w:p>
      <w:pPr>
        <w:pStyle w:val="Heading2"/>
      </w:pPr>
      <w:r>
        <w:t xml:space="preserve">Mathematical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Equations numbered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Parameter estimates with SE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 (SI architecture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Notation consistency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</w:tbl>
    <w:bookmarkEnd w:id="27"/>
    <w:bookmarkStart w:id="28" w:name="validation"/>
    <w:p>
      <w:pPr>
        <w:pStyle w:val="Heading2"/>
      </w:pPr>
      <w:r>
        <w:t xml:space="preserve">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Independent validation</w:t>
            </w:r>
          </w:p>
        </w:tc>
        <w:tc>
          <w:tcPr/>
          <w:p>
            <w:pPr>
              <w:pStyle w:val="Compact"/>
            </w:pPr>
            <w:r>
              <w:t xml:space="preserve">MET (reframed)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Validation metrics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Residual diagnostics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Validation sample size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</w:tbl>
    <w:bookmarkEnd w:id="28"/>
    <w:bookmarkStart w:id="29" w:name="growth-and-yield-modeling"/>
    <w:p>
      <w:pPr>
        <w:pStyle w:val="Heading2"/>
      </w:pPr>
      <w:r>
        <w:t xml:space="preserve">Growth and yield modeling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GY1</w:t>
            </w:r>
          </w:p>
        </w:tc>
        <w:tc>
          <w:tcPr/>
          <w:p>
            <w:pPr>
              <w:pStyle w:val="Compact"/>
            </w:pPr>
            <w:r>
              <w:t xml:space="preserve">Component model forms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GY2</w:t>
            </w:r>
          </w:p>
        </w:tc>
        <w:tc>
          <w:tcPr/>
          <w:p>
            <w:pPr>
              <w:pStyle w:val="Compact"/>
            </w:pPr>
            <w:r>
              <w:t xml:space="preserve">Site index treatment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MET (R5 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GY3</w:t>
            </w:r>
          </w:p>
        </w:tc>
        <w:tc>
          <w:tcPr/>
          <w:p>
            <w:pPr>
              <w:pStyle w:val="Compact"/>
            </w:pPr>
            <w:r>
              <w:t xml:space="preserve">Stand density treatment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GY4</w:t>
            </w:r>
          </w:p>
        </w:tc>
        <w:tc>
          <w:tcPr/>
          <w:p>
            <w:pPr>
              <w:pStyle w:val="Compact"/>
            </w:pPr>
            <w:r>
              <w:t xml:space="preserve">Long-horizon stability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GY5</w:t>
            </w:r>
          </w:p>
        </w:tc>
        <w:tc>
          <w:tcPr/>
          <w:p>
            <w:pPr>
              <w:pStyle w:val="Compact"/>
            </w:pPr>
            <w:r>
              <w:t xml:space="preserve">Climate sensitivity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GY6</w:t>
            </w:r>
          </w:p>
        </w:tc>
        <w:tc>
          <w:tcPr/>
          <w:p>
            <w:pPr>
              <w:pStyle w:val="Compact"/>
            </w:pPr>
            <w:r>
              <w:t xml:space="preserve">Comparison to alternatives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</w:tbl>
    <w:bookmarkEnd w:id="29"/>
    <w:bookmarkEnd w:id="30"/>
    <w:bookmarkStart w:id="31" w:name="section-6.-updated-scoring"/>
    <w:p>
      <w:pPr>
        <w:pStyle w:val="Heading1"/>
      </w:pPr>
      <w:r>
        <w:t xml:space="preserve">Section 6. Updated scoring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646"/>
        <w:gridCol w:w="646"/>
        <w:gridCol w:w="1939"/>
        <w:gridCol w:w="29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v3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Originality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Integration novelty unchanged.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Significance to field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Unchanged.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Methodological rigor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All M, S, V items closed; GY2 now MET.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Statistical appropriateness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Posterior subsampling rationale (R2) closes the last ambiguity.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Reproducibility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DOI minted and resolvable.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Model 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Unchanged.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Literature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Reynolds 1984 now cited (R6).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 Interpretation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Unchanged.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 Writing clarity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§4.6 still dense but readable; figures dense but useful.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 Figures and tables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Unchanged.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Average score: v2 = 4.5, v3 = 4.7.</w:t>
      </w:r>
      <w:r>
        <w:t xml:space="preserve"> </w:t>
      </w:r>
      <w:r>
        <w:t xml:space="preserve">Indicative recommendation</w:t>
      </w:r>
      <w:r>
        <w:t xml:space="preserve"> </w:t>
      </w:r>
      <w:r>
        <w:t xml:space="preserve">under v3:</w:t>
      </w:r>
      <w:r>
        <w:t xml:space="preserve"> </w:t>
      </w:r>
      <w:r>
        <w:rPr>
          <w:b/>
          <w:bCs/>
        </w:rPr>
        <w:t xml:space="preserve">Accept</w:t>
      </w:r>
      <w:r>
        <w:t xml:space="preserve">.</w:t>
      </w:r>
    </w:p>
    <w:bookmarkEnd w:id="31"/>
    <w:bookmarkStart w:id="32" w:name="section-7.-ai-content-screen-summary"/>
    <w:p>
      <w:pPr>
        <w:pStyle w:val="Heading1"/>
      </w:pPr>
      <w:r>
        <w:t xml:space="preserve">Section 7. AI content screen summary</w:t>
      </w:r>
    </w:p>
    <w:p>
      <w:pPr>
        <w:pStyle w:val="FirstParagraph"/>
      </w:pPr>
      <w:r>
        <w:t xml:space="preserve">LOW signal. Lexical scan found only 2 instances of high-risk</w:t>
      </w:r>
      <w:r>
        <w:t xml:space="preserve"> </w:t>
      </w:r>
      <w:r>
        <w:t xml:space="preserve">vocabulary (both</w:t>
      </w:r>
      <w:r>
        <w:t xml:space="preserve"> </w:t>
      </w:r>
      <w:r>
        <w:t xml:space="preserve">“harness”</w:t>
      </w:r>
      <w:r>
        <w:t xml:space="preserve">, in technical context). Hyphen scan</w:t>
      </w:r>
      <w:r>
        <w:t xml:space="preserve"> </w:t>
      </w:r>
      <w:r>
        <w:t xml:space="preserve">shows compound modifiers and the project name</w:t>
      </w:r>
      <w:r>
        <w:t xml:space="preserve"> </w:t>
      </w:r>
      <w:r>
        <w:rPr>
          <w:rStyle w:val="VerbatimChar"/>
        </w:rPr>
        <w:t xml:space="preserve">fvs-modern</w:t>
      </w:r>
      <w:r>
        <w:t xml:space="preserve">, no</w:t>
      </w:r>
      <w:r>
        <w:t xml:space="preserve"> </w:t>
      </w:r>
      <w:r>
        <w:t xml:space="preserve">decorative punctuation. Structural cohesion intact across sections.</w:t>
      </w:r>
      <w:r>
        <w:t xml:space="preserve"> </w:t>
      </w:r>
      <w:r>
        <w:t xml:space="preserve">Citation pattern shows wide year range (1933-2025) with no narrow</w:t>
      </w:r>
      <w:r>
        <w:t xml:space="preserve"> </w:t>
      </w:r>
      <w:r>
        <w:t xml:space="preserve">clustering. No AI-pattern flags raised.</w:t>
      </w:r>
    </w:p>
    <w:bookmarkEnd w:id="32"/>
    <w:bookmarkStart w:id="33" w:name="Xef1d1be9b96bc21d6a2ef92636973146775adc6"/>
    <w:p>
      <w:pPr>
        <w:pStyle w:val="Heading1"/>
      </w:pPr>
      <w:r>
        <w:t xml:space="preserve">Section 8. Citation integrity audit summary</w:t>
      </w:r>
    </w:p>
    <w:p>
      <w:pPr>
        <w:pStyle w:val="FirstParagraph"/>
      </w:pPr>
      <w:r>
        <w:t xml:space="preserve">All 17 references present and well-formed. Reynolds (1984), flagged</w:t>
      </w:r>
      <w:r>
        <w:t xml:space="preserve"> </w:t>
      </w:r>
      <w:r>
        <w:t xml:space="preserve">in v3 Module 4 as previously unused, is now cited in §3.1 (R6).</w:t>
      </w:r>
      <w:r>
        <w:t xml:space="preserve"> </w:t>
      </w:r>
      <w:r>
        <w:t xml:space="preserve">Three 2025 citations verified by DOI presence</w:t>
      </w:r>
      <w:r>
        <w:t xml:space="preserve"> </w:t>
      </w:r>
      <w:r>
        <w:t xml:space="preserve">(10.1007/s44392-025-00041-0 Joo, 10.1007/s44392-025-00056-7 Premer,</w:t>
      </w:r>
      <w:r>
        <w:t xml:space="preserve"> </w:t>
      </w:r>
      <w:r>
        <w:t xml:space="preserve">10.1007/s44392-025-00012-5 Woodall). No Type A through Type F</w:t>
      </w:r>
      <w:r>
        <w:t xml:space="preserve"> </w:t>
      </w:r>
      <w:r>
        <w:t xml:space="preserve">anomalies detected. [REVIEWER VERIFY] for content match of recent</w:t>
      </w:r>
      <w:r>
        <w:t xml:space="preserve"> </w:t>
      </w:r>
      <w:r>
        <w:t xml:space="preserve">2025 references against the specific claims they support is</w:t>
      </w:r>
      <w:r>
        <w:t xml:space="preserve"> </w:t>
      </w:r>
      <w:r>
        <w:t xml:space="preserve">recommended but not blocking.</w:t>
      </w:r>
    </w:p>
    <w:bookmarkEnd w:id="33"/>
    <w:bookmarkStart w:id="34" w:name="section-9.-pre-submission-checklist"/>
    <w:p>
      <w:pPr>
        <w:pStyle w:val="Heading1"/>
      </w:pPr>
      <w:r>
        <w:t xml:space="preserve">Section 9. Pre-submission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4.6 with real FIA Bakuzis numbers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3.3 methods describes FIA stratified sampling path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5.4 limitations honestly frames PN/SN/IE state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5.5 future work lists runtime regression as item six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index treatment specified (R5)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Posterior draw subsampling rationale (R2)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vs posterior uncertainty distinction (R3)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FIA vs synthetic Bakuzis cost distinction (R4)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 claim aligned to actual law coverage (R1)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Reynolds (1984) cited (R6)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six 2025 citations present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Equation forms numbered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seeds stated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Climate-FVS reference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Comparative positioning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statement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Competing interests declared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availability with resolvable Zenodo DOI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CITATION.cff with DOI identifier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 with Zenodo badge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Co-author final review</w:t>
            </w:r>
          </w:p>
        </w:tc>
        <w:tc>
          <w:tcPr/>
          <w:p>
            <w:pPr>
              <w:pStyle w:val="Compact"/>
            </w:pPr>
            <w:r>
              <w:t xml:space="preserve">TODO (after distribution)</w:t>
            </w:r>
          </w:p>
        </w:tc>
      </w:tr>
    </w:tbl>
    <w:bookmarkEnd w:id="34"/>
    <w:bookmarkStart w:id="35" w:name="disclosure"/>
    <w:p>
      <w:pPr>
        <w:pStyle w:val="Heading1"/>
      </w:pPr>
      <w:r>
        <w:t xml:space="preserve">Disclosure</w:t>
      </w:r>
    </w:p>
    <w:p>
      <w:pPr>
        <w:pStyle w:val="FirstParagraph"/>
      </w:pPr>
      <w:r>
        <w:t xml:space="preserve">This v3 self-assessment was conducted by the corresponding author</w:t>
      </w:r>
      <w:r>
        <w:t xml:space="preserve"> </w:t>
      </w:r>
      <w:r>
        <w:t xml:space="preserve">using the manuscript-review framework with AI assistance for</w:t>
      </w:r>
      <w:r>
        <w:t xml:space="preserve"> </w:t>
      </w:r>
      <w:r>
        <w:t xml:space="preserve">structural organization and consistency checking. All scientific</w:t>
      </w:r>
      <w:r>
        <w:t xml:space="preserve"> </w:t>
      </w:r>
      <w:r>
        <w:t xml:space="preserve">judgments and the final recommendation are the responsibility of</w:t>
      </w:r>
      <w:r>
        <w:t xml:space="preserve"> </w:t>
      </w:r>
      <w:r>
        <w:t xml:space="preserve">the corresponding author. Manuscript content was processed only</w:t>
      </w:r>
      <w:r>
        <w:t xml:space="preserve"> </w:t>
      </w:r>
      <w:r>
        <w:t xml:space="preserve">within the local workspace; no external submission to AI services</w:t>
      </w:r>
      <w:r>
        <w:t xml:space="preserve"> </w:t>
      </w:r>
      <w:r>
        <w:t xml:space="preserve">occurred.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Self-review report v3: fvs-modern combined manuscript (post-revision)</dc:title>
  <dc:creator>Aaron R. Weiskittel</dc:creator>
  <cp:keywords/>
  <dcterms:created xsi:type="dcterms:W3CDTF">2026-04-26T23:56:55Z</dcterms:created>
  <dcterms:modified xsi:type="dcterms:W3CDTF">2026-04-26T23:56:55Z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2026-04-26</vt:lpwstr>
  </property>
  <property fmtid="{D5CDD505-2E9C-101B-9397-08002B2CF9AE}" pid="3" name="subtitle">
    <vt:lpwstr>Internal pre-submission assessment for Environmental Modelling and Software</vt:lpwstr>
  </property>
</Properties>
</file>