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3"/>
      </w:pPr>
      <w:r>
        <w:t xml:space="preserve">Table 1. Diameter growth model performance by FVS variant.</w:t>
      </w:r>
    </w:p>
    <w:p>
      <w:pPr>
        <w:pStyle w:val="Normal"/>
      </w:pPr>
      <w:r>
        <w:t xml:space="preserve">Calibrated Bayesian MAP versus default FVS predictions on ln(DDS) scale.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63"/>
        <w:gridCol w:w="1246"/>
        <w:gridCol w:w="1062"/>
        <w:gridCol w:w="926"/>
        <w:gridCol w:w="991"/>
        <w:gridCol w:w="926"/>
        <w:gridCol w:w="1040"/>
        <w:gridCol w:w="1105"/>
        <w:gridCol w:w="1392"/>
      </w:tblGrid>
      <w:tr>
        <w:trPr>
          <w:trHeight w:val="571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Calibrated (MAP)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Default FVS</w:t>
            </w:r>
          </w:p>
        </w:tc>
      </w:tr>
      <w:tr>
        <w:trPr>
          <w:trHeight w:val="585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Variant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 trees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Bias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Bias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R²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Central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50,000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-0.401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Central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-0.334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Central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-6.194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49,875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-1.418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Wykoff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-1.392</w:t>
            </w:r>
          </w:p>
        </w:tc>
      </w:tr>
      <w:tr>
        <w:trPr>
          <w:trHeight w:val="58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Wykoff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-2.681</w:t>
            </w:r>
          </w:p>
        </w:tc>
      </w:tr>
      <w:tr>
        <w:trPr>
          <w:trHeight w:val="58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Wykoff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33,311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-3.852</w:t>
            </w:r>
          </w:p>
        </w:tc>
      </w:tr>
      <w:tr>
        <w:trPr>
          <w:trHeight w:val="58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Wykoff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17,610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-24.044</w:t>
            </w:r>
          </w:p>
        </w:tc>
      </w:tr>
      <w:tr>
        <w:trPr>
          <w:trHeight w:val="58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Wykoff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-10.395</w:t>
            </w:r>
          </w:p>
        </w:tc>
      </w:tr>
      <w:tr>
        <w:trPr>
          <w:trHeight w:val="58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Wykoff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47,491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-9.213</w:t>
            </w:r>
          </w:p>
        </w:tc>
      </w:tr>
      <w:tr>
        <w:trPr>
          <w:trHeight w:val="58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Wykoff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49,765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-25.702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-1,289.062</w:t>
            </w:r>
          </w:p>
        </w:tc>
      </w:tr>
      <w:tr>
        <w:trPr>
          <w:trHeight w:val="58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Wykoff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-1.916</w:t>
            </w:r>
          </w:p>
        </w:tc>
      </w:tr>
      <w:tr>
        <w:trPr>
          <w:trHeight w:val="58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Wykoff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-0.734</w:t>
            </w:r>
          </w:p>
        </w:tc>
      </w:tr>
      <w:tr>
        <w:trPr>
          <w:trHeight w:val="58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Wykoff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-3.041</w:t>
            </w:r>
          </w:p>
        </w:tc>
      </w:tr>
      <w:tr>
        <w:trPr>
          <w:trHeight w:val="58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Wykoff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-465.483</w:t>
            </w:r>
          </w:p>
        </w:tc>
      </w:tr>
      <w:tr>
        <w:trPr>
          <w:trHeight w:val="58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Wykoff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-0.978</w:t>
            </w:r>
          </w:p>
        </w:tc>
      </w:tr>
      <w:tr>
        <w:trPr>
          <w:trHeight w:val="58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Wykoff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49,912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-2.352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-2.780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Performance metrics computed on ln(DDS) scale using 20% holdout test set. CR excluded from default comparison (equation type unclassified). NA indicates default coefficients not available.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aweiskittel</cp:lastModifiedBy>
  <cp:revision>9</cp:revision>
  <dcterms:created xsi:type="dcterms:W3CDTF">2017-02-28T11:18:00Z</dcterms:created>
  <dcterms:modified xsi:type="dcterms:W3CDTF">2026-03-29T07:23:00Z</dcterms:modified>
  <cp:category/>
</cp:coreProperties>
</file>