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3"/>
      </w:pPr>
      <w:r>
        <w:t xml:space="preserve">Table 2. Stand level validation of calibrated diameter growth projections.</w:t>
      </w:r>
    </w:p>
    <w:p>
      <w:pPr>
        <w:pStyle w:val="Normal"/>
      </w:pPr>
      <w:r>
        <w:t xml:space="preserve">Basal area and quadratic mean diameter metrics across 18 FVS variants using DG only projections.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63"/>
        <w:gridCol w:w="1246"/>
        <w:gridCol w:w="811"/>
        <w:gridCol w:w="1090"/>
        <w:gridCol w:w="926"/>
        <w:gridCol w:w="811"/>
        <w:gridCol w:w="1090"/>
        <w:gridCol w:w="926"/>
      </w:tblGrid>
      <w:tr>
        <w:trPr>
          <w:trHeight w:val="571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Basal area (m² ha⁻¹)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QMD (cm)</w:t>
            </w:r>
          </w:p>
        </w:tc>
      </w:tr>
      <w:tr>
        <w:trPr>
          <w:trHeight w:val="585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Variant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Bias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%RMSE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R²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Bias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%RMSE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R²</w:t>
            </w:r>
          </w:p>
        </w:tc>
      </w:tr>
      <w:tr>
        <w:trPr>
          <w:trHeight w:val="55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Central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0.959</w:t>
            </w:r>
          </w:p>
        </w:tc>
      </w:tr>
      <w:tr>
        <w:trPr>
          <w:trHeight w:val="55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Central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0.973</w:t>
            </w:r>
          </w:p>
        </w:tc>
      </w:tr>
      <w:tr>
        <w:trPr>
          <w:trHeight w:val="55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Central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0.913</w:t>
            </w:r>
          </w:p>
        </w:tc>
      </w:tr>
      <w:tr>
        <w:trPr>
          <w:trHeight w:val="54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0.954</w:t>
            </w:r>
          </w:p>
        </w:tc>
      </w:tr>
      <w:tr>
        <w:trPr>
          <w:trHeight w:val="55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0.542</w:t>
            </w:r>
          </w:p>
        </w:tc>
      </w:tr>
      <w:tr>
        <w:trPr>
          <w:trHeight w:val="58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Wykoff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0.933</w:t>
            </w:r>
          </w:p>
        </w:tc>
      </w:tr>
      <w:tr>
        <w:trPr>
          <w:trHeight w:val="58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Wykoff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0.913</w:t>
            </w:r>
          </w:p>
        </w:tc>
      </w:tr>
      <w:tr>
        <w:trPr>
          <w:trHeight w:val="58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Wykoff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0.958</w:t>
            </w:r>
          </w:p>
        </w:tc>
      </w:tr>
      <w:tr>
        <w:trPr>
          <w:trHeight w:val="58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Wykoff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0.767</w:t>
            </w:r>
          </w:p>
        </w:tc>
      </w:tr>
      <w:tr>
        <w:trPr>
          <w:trHeight w:val="58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Wykoff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0.903</w:t>
            </w:r>
          </w:p>
        </w:tc>
      </w:tr>
      <w:tr>
        <w:trPr>
          <w:trHeight w:val="58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Wykoff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0.807</w:t>
            </w:r>
          </w:p>
        </w:tc>
      </w:tr>
      <w:tr>
        <w:trPr>
          <w:trHeight w:val="58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Wykoff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0.846</w:t>
            </w:r>
          </w:p>
        </w:tc>
      </w:tr>
      <w:tr>
        <w:trPr>
          <w:trHeight w:val="58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Wykoff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0.964</w:t>
            </w:r>
          </w:p>
        </w:tc>
      </w:tr>
      <w:tr>
        <w:trPr>
          <w:trHeight w:val="58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Wykoff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0.944</w:t>
            </w:r>
          </w:p>
        </w:tc>
      </w:tr>
      <w:tr>
        <w:trPr>
          <w:trHeight w:val="58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Wykoff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0.957</w:t>
            </w:r>
          </w:p>
        </w:tc>
      </w:tr>
      <w:tr>
        <w:trPr>
          <w:trHeight w:val="58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Wykoff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0.598</w:t>
            </w:r>
          </w:p>
        </w:tc>
      </w:tr>
      <w:tr>
        <w:trPr>
          <w:trHeight w:val="58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Wykoff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0.986</w:t>
            </w:r>
          </w:p>
        </w:tc>
      </w:tr>
      <w:tr>
        <w:trPr>
          <w:trHeight w:val="58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Wykoff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0.940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Projections use calibrated MAP diameter growth estimates only (no mortality, height, or crown ratio). Bias in original units; %RMSE relative to observed mean. CR variant excluded (equation type unclassified).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aweiskittel</cp:lastModifiedBy>
  <cp:revision>9</cp:revision>
  <dcterms:created xsi:type="dcterms:W3CDTF">2017-02-28T11:18:00Z</dcterms:created>
  <dcterms:modified xsi:type="dcterms:W3CDTF">2026-03-29T07:23:01Z</dcterms:modified>
  <cp:category/>
</cp:coreProperties>
</file>