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Harmonized Multi-Model, Multi-Scenario CONUS Forest Assessment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Plan, status, methods, and cross-model results for the apples-to-apples LANDIS / FVS / yield-curve / CEM / CBM comparison.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Prepared 2026-06-08 for project continuity (CRSF / OSC Cardinal, project PUOM0008). This document gives a future session the full context needed to resume the work.</w:t>
      </w:r>
    </w:p>
    <w:p>
      <w:pPr>
        <w:pBdr>
          <w:bottom w:val="single" w:color="2E5496" w:sz="6" w:space="1"/>
        </w:pBdr>
        <w:spacing w:after="120" w:before="12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and framing</w:t>
      </w:r>
    </w:p>
    <w:p>
      <w:pPr>
        <w:spacing w:after="120"/>
      </w:pPr>
      <w:r>
        <w:t xml:space="preserve">The goal is an apples-to-apples comparison of forest-carbon and ecosystem-service projections across multiple models (LANDIS-II, FVS, empirical yield curves, CEM, CBM), following the Daigneault et al. (2024) multi-model framing. Every model consumes the same inputs so that differences in projected outcomes are attributable to model structure, not to setup. The keystone configuration is harmonized_scenarios.yml in cbm_states/cross_state/libcbm/tools_conus.</w:t>
      </w:r>
    </w:p>
    <w:p>
      <w:pPr>
        <w:spacing w:after="120"/>
      </w:pPr>
      <w:r>
        <w:t xml:space="preserve">Locked common elements: CONUS lower 48; horizon 2025 to 2100 (5-year steps); a single carbon fraction (0.5); current climate as the headline with rcp45/85 as a sensitivity; forest area from FIA EXPNS; one harvest driver (HCS per-state rate); and a common FIA year-0 anchor that rescales every model to the same starting stock, isolating dynamics.</w:t>
      </w:r>
    </w:p>
    <w:p>
      <w:pPr>
        <w:pStyle w:val="Heading1"/>
      </w:pPr>
      <w:r>
        <w:t xml:space="preserve">2.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spatial substrate: TreeMap. Models run per FIA plot; TreeMap's plot-to-pixel imputation provides spatial allocation. The state-level result uses plot-mean per-ha carbon anchored to the FIA total (painting reserved for sub-state maps).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FIA anchor: each model is rescaled so its year-0 (2025) total equals the FIA design-based estimate per state; only the post-2025 dynamics differ between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harvest: the HCS per-state annual harvest rate, scaled by a scenario multiplier, applied as a deterministic expected-value removal flux. This is what keeps harvest identical across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linkage by physical plot identity (STATECD_COUNTYCD_PLOT), not raw control number, because sources carry different inventory-cycle CNs (crosswalk cn2pid.csv, ~2M rows).</w:t>
      </w:r>
    </w:p>
    <w:p>
      <w:pPr>
        <w:pStyle w:val="Heading1"/>
      </w:pPr>
      <w:r>
        <w:t xml:space="preserve">3. Scenario protocol</w:t>
      </w:r>
    </w:p>
    <w:p>
      <w:pPr>
        <w:spacing w:after="120"/>
      </w:pPr>
      <w:r>
        <w:t xml:space="preserve">Four management scenarios at current climate (Daigneault taxonomy). Climate is a separate, capability-restricted sensitivity layer (not all models represent climate or disturbance, so blending it into the core comparison would let assumptions dominate).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Harvest x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 / prescription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harvest / set-aside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Extensive partial harvest, longer rotations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harvest = HCS per-state rate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Clearcut emphasis (land-sparing intensive)</w:t>
            </w:r>
          </w:p>
        </w:tc>
      </w:tr>
    </w:tbl>
    <w:p>
      <w:pPr>
        <w:pStyle w:val="Heading1"/>
      </w:pPr>
      <w:r>
        <w:t xml:space="preserve">4. Shared foundations (complete)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HCS per-state harvest rates, 48 states (harmonized/hcs_harvest_rate_by_state.csv): 0 to 5.19 %/yr, median 0.11; near-zero in the arid West, ~1.4 %/yr in the Southeast.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FIA design-based year-0 anchor with standard errors, 48 states, EVALIDator-mirroring estimator (fia_design_estimate.R): CONUS 15.28 Pg C live AGC; per-state CV ~1 % (well-forested) to ~7 % (sparse plains).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TreeMap painter (treemap_paint.R) and the aggregation / anchor-rescale / acceptance layer with SE propagation (harmonized_aggregate.R).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Scenario + metric engine (apply_harvest_scenarios.R): forest carbon, harvested wood products (HWP) carbon, total carbon, and timber NPV, all from the same harvest removals; LSOG biomass proxy (lsog_proxy.R).</w:t>
      </w:r>
    </w:p>
    <w:p>
      <w:pPr>
        <w:pStyle w:val="Heading1"/>
      </w:pPr>
      <w:r>
        <w:t xml:space="preserve">5. Model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LANDIS-II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WA, MN complete; IN/OH/WI/MI in progress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Per-plot, per-ha anchored, common harvest. Full multi-criteria vector (carbon+HWP, NPV, LSOG) for WA/MN/IN/OH. Per-plot run failures (header-only stubs) fixed; runs finishing. ME/GA need statewide runs built.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FVS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states (CONUS)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RESOLVED. Reserve from per-stand densities (out_gompit_v3 conus_*.csv, gompit config), anchored to FIA, common harvest. harmonized_fvs_carbon_npv.csv.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curves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states / CONUS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4-scenario carbon with uncertainty bands (conus_aggregated_yields.csv), rcp45/85, FIADB+TreeMap allocations. Reserve harmonizable; native scenarios use the model's own harvest (re-anchor + common harvest needed for strict comparison).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GA/ME/MN/WA, extending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on Cardinal (cem_rerun array). Needs per-plot per-ha adapter into the common pipeline.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CBM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 (FIA-native)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a per-plot per-ha adapter.</w:t>
            </w:r>
          </w:p>
        </w:tc>
      </w:tr>
    </w:tbl>
    <w:p>
      <w:pPr>
        <w:pStyle w:val="Heading1"/>
      </w:pPr>
      <w:r>
        <w:t xml:space="preserve">6. Cross-model results to date</w:t>
      </w:r>
    </w:p>
    <w:p>
      <w:pPr>
        <w:pStyle w:val="Heading2"/>
      </w:pPr>
      <w:r>
        <w:t xml:space="preserve">6.1 LANDIS vs FVS, 2100 total carbon (forest + HWP), Tg C</w:t>
      </w:r>
    </w:p>
    <w:p>
      <w:pPr>
        <w:spacing w:after="120"/>
      </w:pPr>
      <w:r>
        <w:t xml:space="preserve">Both anchored to the same FIA year-0, so the 2100 divergence is purely model structure. The models disagree by roughly 2x, and the direction flips by region.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9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LANDIS reserve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FVS reserve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LANDIS intensive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FVS intensive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514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838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663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714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469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1371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2272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1360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2255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LANDIS accumulates more carbon in the East and Lake States; FVS far more in the Pacific Northwest. Scenario ordering (reserve &gt; conservation &gt; BAU &gt; intensive) holds in both.</w:t>
      </w:r>
    </w:p>
    <w:p>
      <w:pPr>
        <w:pStyle w:val="Heading2"/>
      </w:pPr>
      <w:r>
        <w:t xml:space="preserve">6.2 CONUS scenario carbon by model, 2100 (Tg C live AGC)</w:t>
      </w:r>
    </w:p>
    <w:p>
      <w:pPr>
        <w:spacing w:after="120"/>
      </w:pPr>
      <w:r>
        <w:t xml:space="preserve">Caveat: FVS uses the common harvest; the yield-curve figures below are the model's native scenarios (own harvest intensity) on its own year-0, so they are not yet strictly comparable on the harvest axis. LANDIS is not yet CONUS-complete.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(basis)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reserve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BAU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intensive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FVS (common harvest, FIA anchor)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32207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30154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28066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25591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 curves (native, own y0=11061)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20815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15633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9413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5688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The contrast in harvest sensitivity (FVS reserve-to-intensive -21 % vs yield-curve -73 %) is partly real model difference and partly the harvest-protocol difference (common vs native). Re-running yield curves under the common harvest from their reserve trajectory is the fix.</w:t>
      </w:r>
    </w:p>
    <w:p>
      <w:pPr>
        <w:pStyle w:val="Heading2"/>
      </w:pPr>
      <w:r>
        <w:t xml:space="preserve">6.3 Updated yield-curve findings (this session)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four harmonized scenarios are available at CONUS with uncertainty bands (lo/hi), under rcp45 and rcp85, and under FIADB and TreeMap spatial allocations (ycx_canon).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CONUS reserve live AGC: 11,061 Tg C (2025) to 20,815 [20,580 to 21,499] (2100); conservation 15,633; BAU 9,413; intensive 5,688.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Yield-curve year-0 (11,061 Tg C) sits below the FIA design anchor (15,279 Tg C), an empirical-vs-design-estimator gap; harmonization re-anchors to the design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Outputs: conus_aggregated_yields.csv (metric x scenario x year x value/lo/hi), per-state files under yield_curves_conus/.</w:t>
      </w:r>
    </w:p>
    <w:p>
      <w:pPr>
        <w:pStyle w:val="Heading1"/>
      </w:pPr>
      <w:r>
        <w:t xml:space="preserve">7. Metrics</w:t>
      </w:r>
    </w:p>
    <w:p>
      <w:pPr>
        <w:pStyle w:val="Heading2"/>
      </w:pPr>
      <w:r>
        <w:t xml:space="preserve">7.1 Carbon: forest + harvested wood products</w:t>
      </w:r>
    </w:p>
    <w:p>
      <w:pPr>
        <w:spacing w:after="120"/>
      </w:pPr>
      <w:r>
        <w:t xml:space="preserve">Total carbon = standing forest AGC + HWP. HWP is a first-order pool: of removed carbon, 50 % enters products, split long-lived (sawnwood/panels, 35-yr half-life) and short-lived (paper, 4-yr), with a landfill pool (100-yr); storage only, no material-substitution credit. HWP recovers ~20 to 25 % of harvest-driven forest carbon loss by 2100.</w:t>
      </w:r>
    </w:p>
    <w:p>
      <w:pPr>
        <w:pStyle w:val="Heading2"/>
      </w:pPr>
      <w:r>
        <w:t xml:space="preserve">7.2 Economics: NPV / stumpage</w:t>
      </w:r>
    </w:p>
    <w:p>
      <w:pPr>
        <w:spacing w:after="120"/>
      </w:pPr>
      <w:r>
        <w:t xml:space="preserve">Timber NPV is valued from each scenario's own removals at 3 % and 5 % discount, kept on a separate axis from physical carbon. Stumpage is currently a generic placeholder ($14/m3, 2020 USD; merchantable fraction 0.6; 1.9 m3/Mg). Real benchmarks for the refinement: southern pine sawtimber ~$22 to 25/ton, hardwood ~$16 to 35/ton, Pacific Northwest Douglas-fir ~$42 to 55/ton. The ecoregion_npv_by_rate.csv product carries NPV at four discount rates but only populated timber for BAU, so timber-from-removals is used for the cross-scenario comparison.</w:t>
      </w:r>
    </w:p>
    <w:p>
      <w:pPr>
        <w:pStyle w:val="Heading2"/>
      </w:pPr>
      <w:r>
        <w:t xml:space="preserve">7.3 Ecosystem services</w:t>
      </w:r>
    </w:p>
    <w:p>
      <w:pPr>
        <w:spacing w:after="120"/>
      </w:pPr>
      <w:r>
        <w:t xml:space="preserve">An LSOG biomass-threshold proxy (fraction of plots with live AGC above 75 Mg C/ha) is computed across scenarios now. The rigorous age-based LSOG, plus biodiversity (species richness/diversity) and habitat suitability, require a metrics-output LANDIS rerun that retains cohort age, per-species biomass, and the habitat extensions (a configuration change; the container already has the extensions).</w:t>
      </w:r>
    </w:p>
    <w:p>
      <w:pPr>
        <w:pStyle w:val="Heading1"/>
      </w:pPr>
      <w:r>
        <w:t xml:space="preserve">8. Methods and key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Carbon fraction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Common; CEM internal 0.47 reconciled on output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HWP to products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= slash/mill loss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HWP half-lives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 / 4 / 100 yr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long-lived / short-lived / landfill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Removal fraction f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 clearcut, 0.45 partial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BAU blends by state clearcut fraction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Stumpage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$14/m3 (placeholder)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with regional series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Discount rate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3 % and 5 %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headline; 7 %/10 % sensitivity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LSOG threshold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 Mg C/ha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biomass proxy for late-successional</w:t>
            </w:r>
          </w:p>
        </w:tc>
      </w:tr>
    </w:tbl>
    <w:p>
      <w:pPr>
        <w:pStyle w:val="Heading1"/>
      </w:pPr>
      <w:r>
        <w:t xml:space="preserve">9.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Monetize carbon in a net NPV, or keep carbon and dollars separate (current: separate, 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regional stumpage source and refit of the stumpage imputation.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HWP storage-only vs a material-substitution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LSOG age/structure thresholds and the focal habitat species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to commit the metrics-output LANDIS rerun that unlocks age-based LSOG, biodiversity, and habitat.</w:t>
      </w:r>
    </w:p>
    <w:p>
      <w:pPr>
        <w:pStyle w:val="Heading1"/>
      </w:pPr>
      <w:r>
        <w:t xml:space="preserve">10.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the LANDIS IN/OH/WI/MI runs (stub fix applied) and run the clean six-state harvest; build ME and 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Re-anchor yield curves to the FIA design anchor and apply the common harvest from their reserve trajectory, so all models share the harvest axis.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 CEM and CBM to the per-plot per-ha schema and bring them onto the common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synthetic stumpage with real regional series; regenerate NPV.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the metrics-output rerun for the full ecosystem-service suite; assemble the five-model multi-criteria tradeoff frontier.</w:t>
      </w:r>
    </w:p>
    <w:p>
      <w:pPr>
        <w:pStyle w:val="Heading1"/>
      </w:pPr>
      <w:r>
        <w:t xml:space="preserve">11. File and script inventory</w:t>
      </w:r>
    </w:p>
    <w:p>
      <w:pPr>
        <w:spacing w:after="120"/>
      </w:pPr>
      <w:r>
        <w:t xml:space="preserve">Repo (github.com/holoros/landis2HPC), harmonized/ : fia_design_estimate.R, fia_domain_estimator.R, treemap_paint.R, harmonized_aggregate.R, landis_adapter.R, build_landis_reserve_perha.R, apply_harvest_scenarios.R, lsog_proxy.R, build_fvs_reserve_v2.R; data fia_agc_anchor_design_by_state.csv, hcs_harvest_rate_by_state.csv, harmonized_carbon_npv_4state.csv, harmonized_lsog_proxy_4state.csv, harmonized_fvs_carbon_npv.csv, harmonized_crossmodel_LANDIS_FVS.csv. docs/ : the dated SESSION_HANDOFF files (the FULL one is the master state), treemap_substrate_plan.md, multicriteria_metrics_framework.md, CONUS_rollout_roadmap_v2.0.md.</w:t>
      </w:r>
    </w:p>
    <w:p>
      <w:pPr>
        <w:spacing w:after="120"/>
      </w:pPr>
      <w:r>
        <w:t xml:space="preserve">Cardinal: FIA/ (anchor, estimators, cn2pid.csv, LANDIS adapter outputs); landis2/tools/run_statewide_buildfresh.sh and the per-state build/apply tools; landis2/states/&lt;ST&gt;/perseus/statewide/&lt;tag&gt;/ (LANDIS per-plot runs); fvs_stress/ (FVS densities out_gompit_v3, managed runs, treemap compare); conus_aggregated_yields.csv and yield_curves_conus/ (yield curves); cbm_states/cross_state/libcbm/tools_conus/ (harmonized config, HCS, CEM/CBM).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Harmonized Multi-Model Forest Assessment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2026-06-09T10:12:39.039Z</dcterms:created>
  <dcterms:modified xsi:type="dcterms:W3CDTF">2026-06-09T10:12:39.040Z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