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r>
        <w:rPr>
          <w:b/>
          <w:bCs/>
          <w:sz w:val="22"/>
          <w:szCs w:val="22"/>
        </w:rPr>
        <w:t xml:space="preserve"> (1) and Ian Prior (2)</w:t>
      </w:r>
    </w:p>
    <w:p>
      <w:pPr>
        <w:spacing w:after="60"/>
      </w:pPr>
      <w:r>
        <w:rPr>
          <w:color w:val="555555"/>
          <w:sz w:val="18"/>
          <w:szCs w:val="18"/>
        </w:rPr>
        <w:t xml:space="preserve">(1) University of Maine, Center for Research on Sustainable Forests, Orono, ME 04469, USA. aaron.weiskittel@maine.edu  (2) Seven Islands Land Company, Bangor, ME 04401, USA.</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authors conduct forest inventory, biometric modeling, and forest management in Maine and have a professional interest in how forest-inventory information is used in state policy. The analyses here use the original authors' archived data and public FIA and remote-sensing data, and all code is openly archived.</w:t>
      </w:r>
    </w:p>
    <w:p>
      <w:pPr>
        <w:pStyle w:val="Heading1"/>
      </w:pPr>
      <w:r>
        <w:t xml:space="preserve">1.  Introduction</w:t>
      </w:r>
    </w:p>
    <w:p>
      <w:pPr>
        <w:spacing w:after="160" w:line="300"/>
        <w:jc w:val="both"/>
      </w:pPr>
      <w:r>
        <w:rPr>
          <w:sz w:val="22"/>
          <w:szCs w:val="22"/>
        </w:rPr>
        <w:t xml:space="preserve">All maps of forest condition are wrong in a specific and unavoidable sense: late-successional and old-growth (LSOG) forest is a continuous, multi-dimensional, and partly subjective condition, and any classification forces it into discrete classes (Box 1976; Gray et al. 2023). The useful question is therefore not whether an LSOG map is correct, but whether it is fit for the decision made with it. The map of Hagan et al. (2026) is an unusually clear case study, because it has become the spatial basis for a decision its accuracy was never assessed against: the prioritization of roughly $200-300 million in conservation funding under Maine's LD 1529 (Thompson et al. 2026). At those stakes, fitness depends on properties the original analysis did not report, namely the map's agreement with independent maps and with unbiased ground inventory, and the confidence interval on every quantity taken from it. We provide both, using the authors' own archived data and public inventory over the same area.</w:t>
      </w:r>
    </w:p>
    <w:p>
      <w:pPr>
        <w:spacing w:after="160" w:line="300"/>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160" w:line="300"/>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60" w:line="300"/>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 6 discusses implications.</w:t>
      </w:r>
    </w:p>
    <w:p>
      <w:pPr>
        <w:pStyle w:val="Heading1"/>
      </w:pPr>
      <w:r>
        <w:t xml:space="preserve">2.  Training accuracy is high for every approach, and is not the issue</w:t>
      </w:r>
    </w:p>
    <w:p>
      <w:pPr>
        <w:spacing w:after="160" w:line="300"/>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Ground structure</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[0.962, 0.969]</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0.970 [0.967, 0.973]</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0.974 [0.966, 0.981]</w:t>
            </w:r>
          </w:p>
        </w:tc>
      </w:tr>
    </w:tbl>
    <w:p>
      <w:pPr>
        <w:spacing w:after="200" w:before="60"/>
      </w:pPr>
      <w:r>
        <w:rPr>
          <w:i/>
          <w:iCs/>
          <w:color w:val="555555"/>
          <w:sz w:val="18"/>
          <w:szCs w:val="18"/>
        </w:rPr>
        <w:t xml:space="preserve">Table 1. Cross-validated AUC (mean [95% interval]) recovering the field-assigned class from three predictor sets, on the 463 archived training plots.</w:t>
      </w:r>
    </w:p>
    <w:p>
      <w:pPr>
        <w:pStyle w:val="Heading1"/>
      </w:pPr>
      <w:r>
        <w:t xml:space="preserve">3.  High training accuracy does not produce map agreement</w:t>
      </w:r>
    </w:p>
    <w:p>
      <w:pPr>
        <w:spacing w:after="160" w:line="300"/>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the Hagan classifier, 14.0% under the canopy-height model, and 7.8% under TreeMap, a 2.8-fold range. Spatially, the Hagan and canopy-height maps overlap on only about 21% of the hectares either one flags (Cohen's kappa 0.21); across all three methods, only 21% of the flagged footprint is agreed by all three, and more than half is flagged by a single method (Table 2; Fig. 1).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and the TreeMap imputation are themselves proxies, and TreeMap imputation smooths rare classes, so its area (computed at native 30 m resolution) is best read as a lower bound and its pixel-level agreement is weak. The unbiased reference is not any map but the design-based FIA estimate (Section 5). The point is not that any one map is correct but that credible operationalizations of the same target disagree by this much, which is the property a single-map prioritization must reckon with.</w:t>
      </w:r>
    </w:p>
    <w:p>
      <w:pPr>
        <w:spacing w:after="160" w:line="300"/>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60" w:line="300"/>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2.8-fold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Jaccard vs Hagan</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0.03</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r>
    </w:tbl>
    <w:p>
      <w:pPr>
        <w:spacing w:after="200" w:before="60"/>
      </w:pPr>
      <w:r>
        <w:rPr>
          <w:i/>
          <w:iCs/>
          <w:color w:val="555555"/>
          <w:sz w:val="18"/>
          <w:szCs w:val="18"/>
        </w:rPr>
        <w:t xml:space="preserve">Table 2. Wall-to-wall any-LSOG area and pairwise agreement across three independent maps over the study area.</w:t>
      </w:r>
    </w:p>
    <w:p>
      <w:pPr>
        <w:spacing w:after="40" w:before="120"/>
        <w:jc w:val="center"/>
      </w:pPr>
      <w:r>
        <w:drawing>
          <wp:inline distT="0" distB="0" distL="0" distR="0">
            <wp:extent cx="4114800" cy="5448300"/>
            <wp:effectExtent t="0" r="0" b="0" l="0"/>
            <wp:docPr id="1" name="Fig. 1. Cross-map disagreement. (a) any-LSOG area by method (2.8-fold range); (b) the same 24-km window classified by each method; (c) only 21% of the flagged footprint is agreed by all three; (d) overlap of the top-priority protected hectares between maps (Jaccard 0.16-0.30)." descr="Fig. 1. Cross-map disagreement. (a) any-LSOG area by method (2.8-fold range); (b) the same 24-km window classified by each method; (c) only 21% of the flagged footprint is agreed by all three; (d) overlap of the top-priority protected hectares between maps (Jaccard 0.16-0.30)." title="Fig. 1.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5448300"/>
                    </a:xfrm>
                    <a:prstGeom prst="rect">
                      <a:avLst/>
                    </a:prstGeom>
                  </pic:spPr>
                </pic:pic>
              </a:graphicData>
            </a:graphic>
          </wp:inline>
        </w:drawing>
      </w:r>
    </w:p>
    <w:p>
      <w:pPr>
        <w:spacing w:after="200" w:before="60"/>
      </w:pPr>
      <w:r>
        <w:rPr>
          <w:i/>
          <w:iCs/>
          <w:color w:val="555555"/>
          <w:sz w:val="18"/>
          <w:szCs w:val="18"/>
        </w:rPr>
        <w:t xml:space="preserve">Fig. 1.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pPr>
      <w:r>
        <w:t xml:space="preserve">4.  The canopy signal maps big-tree forest, not old growth</w:t>
      </w:r>
    </w:p>
    <w:p>
      <w:pPr>
        <w:spacing w:after="160" w:line="300"/>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that keys on the big-tree, tall-canopy signal will tend to over-include relative to a structural or age-based definition, consistent with the among-method spread in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CV R-squared from 8 LiDAR metrics</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0.68</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0.59</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0.51</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0.24</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0.20</w:t>
            </w:r>
          </w:p>
        </w:tc>
      </w:tr>
    </w:tbl>
    <w:p>
      <w:pPr>
        <w:spacing w:after="200" w:before="60"/>
      </w:pPr>
      <w:r>
        <w:rPr>
          <w:i/>
          <w:iCs/>
          <w:color w:val="555555"/>
          <w:sz w:val="18"/>
          <w:szCs w:val="18"/>
        </w:rPr>
        <w:t xml:space="preserve">Table 3. Cross-validated R-squared for predicting ground structural attributes from the eight LiDAR canopy metrics.</w:t>
      </w:r>
    </w:p>
    <w:p>
      <w:pPr>
        <w:pStyle w:val="Heading1"/>
      </w:pPr>
      <w:r>
        <w:t xml:space="preserve">5.  Ground-based inventory: the estimate, with the interval the map omits</w:t>
      </w:r>
    </w:p>
    <w:p>
      <w:pPr>
        <w:spacing w:after="160" w:line="300"/>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60" w:line="300"/>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2);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60" w:line="300"/>
        <w:jc w:val="both"/>
      </w:pPr>
      <w:r>
        <w:rPr>
          <w:sz w:val="22"/>
          <w:szCs w:val="22"/>
        </w:rPr>
        <w:t xml:space="preserve">Finally,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 Their own accuracy limitations are documented (Moudry et al. 2024), which is precisely the reason to use them as one line of evidence among several rather than to rely on any single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Trend %/yr [95% CI]</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+0.19 [0.15, 0.23]</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+0.065 [0.054, 0.075]</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+0.000 [-0.005, 0.006]</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+0.17 [0.15, 0.18]</w:t>
            </w:r>
          </w:p>
        </w:tc>
      </w:tr>
    </w:tbl>
    <w:p>
      <w:pPr>
        <w:spacing w:after="200" w:before="60"/>
      </w:pPr>
      <w:r>
        <w:rPr>
          <w:i/>
          <w:iCs/>
          <w:color w:val="555555"/>
          <w:sz w:val="18"/>
          <w:szCs w:val="18"/>
        </w:rPr>
        <w:t xml:space="preserve">Table 4. FIA design-based older-forest area (2024) with 95% CI, statewide and in the northern timberland units, with 2003-2024 trend.</w:t>
      </w:r>
    </w:p>
    <w:p>
      <w:pPr>
        <w:spacing w:after="40" w:before="120"/>
        <w:jc w:val="center"/>
      </w:pPr>
      <w:r>
        <w:drawing>
          <wp:inline distT="0" distB="0" distL="0" distR="0">
            <wp:extent cx="4343400" cy="2581275"/>
            <wp:effectExtent t="0" r="0" b="0" l="0"/>
            <wp:docPr id="1" name="Fig. 2. FIA design-based older-forest area (stand age &gt;= 120 yr) for Maine, 2003-2024, with 95% confidence intervals. The stock rises while total forestland area is flat." descr="Fig. 2. FIA design-based older-forest area (stand age &gt;= 120 yr) for Maine, 2003-2024, with 95% confidence intervals. The stock rises while total forestland area is flat." title="Fig. 2. FIA design-based older-forest area (stand age &gt;= 120 yr) for Maine, 2003-2024, with 95% confidence intervals. The stock rises while total forestland area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581275"/>
                    </a:xfrm>
                    <a:prstGeom prst="rect">
                      <a:avLst/>
                    </a:prstGeom>
                  </pic:spPr>
                </pic:pic>
              </a:graphicData>
            </a:graphic>
          </wp:inline>
        </w:drawing>
      </w:r>
    </w:p>
    <w:p>
      <w:pPr>
        <w:spacing w:after="200" w:before="60"/>
      </w:pPr>
      <w:r>
        <w:rPr>
          <w:i/>
          <w:iCs/>
          <w:color w:val="555555"/>
          <w:sz w:val="18"/>
          <w:szCs w:val="18"/>
        </w:rPr>
        <w:t xml:space="preserve">Fig. 2. FIA design-based older-forest area (stand age &gt;= 120 yr) for Maine, 2003-2024, with 95% confidence intervals. The stock rises while total forestland area is flat.</w:t>
      </w:r>
    </w:p>
    <w:p>
      <w:pPr>
        <w:pStyle w:val="Heading1"/>
      </w:pPr>
      <w:r>
        <w:t xml:space="preserve">6.  Implications</w:t>
      </w:r>
    </w:p>
    <w:p>
      <w:pPr>
        <w:spacing w:after="160" w:line="300"/>
        <w:jc w:val="both"/>
      </w:pPr>
      <w:r>
        <w:rPr>
          <w:sz w:val="22"/>
          <w:szCs w:val="22"/>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Second, before hectares are prioritized for acquisition or enrolled in markets, the map should be checked against at least one independent product and field-verified at the parcel scale, as the authors themselves recommend for management decisions. Third,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pPr>
      <w:r>
        <w:t xml:space="preserve">Data and code availability</w:t>
      </w:r>
    </w:p>
    <w:p>
      <w:pPr>
        <w:spacing w:after="160" w:line="300"/>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 Comment on Hagan et al. (2026)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72d78270b0db929ba30b2c65a1ae8c2d892d4.png"/><Relationship Id="rId9" Type="http://schemas.openxmlformats.org/officeDocument/2006/relationships/image" Target="media/10a937fad2b6663cce3e5be039a30c2b8d21f8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2026-06-10T13:11:58.226Z</dcterms:created>
  <dcterms:modified xsi:type="dcterms:W3CDTF">2026-06-10T13:11:58.227Z</dcterms:modified>
</cp:coreProperties>
</file>

<file path=docProps/custom.xml><?xml version="1.0" encoding="utf-8"?>
<Properties xmlns="http://schemas.openxmlformats.org/officeDocument/2006/custom-properties" xmlns:vt="http://schemas.openxmlformats.org/officeDocument/2006/docPropsVTypes"/>
</file>