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pPr>
      <w:r>
        <w:t xml:space="preserve">1.  Introduction</w:t>
      </w:r>
    </w:p>
    <w:p>
      <w:pPr>
        <w:spacing w:after="160" w:line="300"/>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60" w:line="300"/>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60" w:line="300"/>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60" w:line="300"/>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pPr>
      <w:r>
        <w:t xml:space="preserve">2.  Training accuracy is high for every approach, and is not the issue</w:t>
      </w:r>
    </w:p>
    <w:p>
      <w:pPr>
        <w:spacing w:after="160" w:line="300"/>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Ground structure</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[0.962, 0.969]</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0.970 [0.967, 0.973]</w:t>
            </w:r>
          </w:p>
        </w:tc>
      </w:tr>
      <w:t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0.974 [0.966, 0.981]</w:t>
            </w:r>
          </w:p>
        </w:tc>
      </w:tr>
    </w:tbl>
    <w:p>
      <w:pPr>
        <w:spacing w:after="200" w:before="60"/>
      </w:pPr>
      <w:r>
        <w:rPr>
          <w:i/>
          <w:iCs/>
          <w:color w:val="555555"/>
          <w:sz w:val="18"/>
          <w:szCs w:val="18"/>
        </w:rPr>
        <w:t xml:space="preserve">Table 1. Cross-validated AUC (mean [95% interval]) recovering the field-assigned class from three predictor sets, on the 463 archived training plots.</w:t>
      </w:r>
    </w:p>
    <w:p>
      <w:pPr>
        <w:pStyle w:val="Heading1"/>
      </w:pPr>
      <w:r>
        <w:t xml:space="preserve">3.  High training accuracy does not produce map agreement</w:t>
      </w:r>
    </w:p>
    <w:p>
      <w:pPr>
        <w:spacing w:after="160" w:line="300"/>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1).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60" w:line="300"/>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60" w:line="300"/>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Jaccard vs Hagan</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n/a</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0.21</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0.03</w:t>
            </w:r>
          </w:p>
        </w:tc>
      </w:tr>
      <w:t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
            </w:r>
          </w:p>
        </w:tc>
      </w:tr>
    </w:tbl>
    <w:p>
      <w:pPr>
        <w:spacing w:after="200" w:before="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p>
      <w:pPr>
        <w:spacing w:after="40" w:before="120"/>
        <w:jc w:val="center"/>
      </w:pPr>
      <w:r>
        <w:drawing>
          <wp:inline distT="0" distB="0" distL="0" distR="0">
            <wp:extent cx="4114800" cy="54483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14800" cy="5448300"/>
                    </a:xfrm>
                    <a:prstGeom prst="rect">
                      <a:avLst/>
                    </a:prstGeom>
                  </pic:spPr>
                </pic:pic>
              </a:graphicData>
            </a:graphic>
          </wp:inline>
        </w:drawing>
      </w:r>
    </w:p>
    <w:p>
      <w:pPr>
        <w:spacing w:after="20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pPr>
      <w:r>
        <w:t xml:space="preserve">4.  The canopy signal captures big trees better than old-growth structure</w:t>
      </w:r>
    </w:p>
    <w:p>
      <w:pPr>
        <w:spacing w:after="160" w:line="300"/>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CV R-squared from 8 LiDAR metrics</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0.68</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0.59</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0.51</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0.24</w:t>
            </w:r>
          </w:p>
        </w:tc>
      </w:tr>
      <w:t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0.20</w:t>
            </w:r>
          </w:p>
        </w:tc>
      </w:tr>
    </w:tbl>
    <w:p>
      <w:pPr>
        <w:spacing w:after="200" w:before="60"/>
      </w:pPr>
      <w:r>
        <w:rPr>
          <w:i/>
          <w:iCs/>
          <w:color w:val="555555"/>
          <w:sz w:val="18"/>
          <w:szCs w:val="18"/>
        </w:rPr>
        <w:t xml:space="preserve">Table 3. Cross-validated R-squared for predicting ground structural attributes from the eight LiDAR canopy metrics.</w:t>
      </w:r>
    </w:p>
    <w:p>
      <w:pPr>
        <w:pStyle w:val="Heading1"/>
      </w:pPr>
      <w:r>
        <w:t xml:space="preserve">5.  Ground-based inventory: the estimate, with the interval the map omits</w:t>
      </w:r>
    </w:p>
    <w:p>
      <w:pPr>
        <w:spacing w:after="160" w:line="300"/>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60" w:line="300"/>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60" w:line="300"/>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jc w:val="center"/>
            </w:pPr>
            <w:r>
              <w:rPr>
                <w:b/>
                <w:bCs/>
                <w:color w:val="FFFFFF"/>
                <w:sz w:val="18"/>
                <w:szCs w:val="18"/>
              </w:rPr>
              <w:t xml:space="preserve">Trend %/yr [95% CI]</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+0.19 [0.15, 0.23]</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+0.065 [0.054, 0.075]</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+0.000 [-0.005, 0.006]</w:t>
            </w:r>
          </w:p>
        </w:tc>
      </w:tr>
      <w:t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jc w:val="left"/>
            </w:pPr>
            <w:r>
              <w:rPr>
                <w:b w:val="false"/>
                <w:bCs w:val="false"/>
                <w:color w:val="000000"/>
                <w:sz w:val="18"/>
                <w:szCs w:val="18"/>
              </w:rPr>
              <w:t xml:space="preserve">+0.17 [0.15, 0.18]</w:t>
            </w:r>
          </w:p>
        </w:tc>
      </w:tr>
    </w:tbl>
    <w:p>
      <w:pPr>
        <w:spacing w:after="200" w:before="60"/>
      </w:pPr>
      <w:r>
        <w:rPr>
          <w:i/>
          <w:iCs/>
          <w:color w:val="555555"/>
          <w:sz w:val="18"/>
          <w:szCs w:val="18"/>
        </w:rPr>
        <w:t xml:space="preserve">Table 4. FIA design-based older-forest area (2024) with 95% CI, statewide and in the northern timberland units, with 2003-2024 trend.</w:t>
      </w:r>
    </w:p>
    <w:p>
      <w:pPr>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20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pPr>
      <w:r>
        <w:t xml:space="preserve">6.  Implications</w:t>
      </w:r>
    </w:p>
    <w:p>
      <w:pPr>
        <w:spacing w:after="160" w:line="300"/>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pPr>
      <w:r>
        <w:t xml:space="preserve">Data and code availability</w:t>
      </w:r>
    </w:p>
    <w:p>
      <w:pPr>
        <w:spacing w:after="160" w:line="300"/>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2026-06-10T17:02:11.211Z</dcterms:created>
  <dcterms:modified xsi:type="dcterms:W3CDTF">2026-06-10T17:02:11.211Z</dcterms:modified>
</cp:coreProperties>
</file>

<file path=docProps/custom.xml><?xml version="1.0" encoding="utf-8"?>
<Properties xmlns="http://schemas.openxmlformats.org/officeDocument/2006/custom-properties" xmlns:vt="http://schemas.openxmlformats.org/officeDocument/2006/docPropsVTypes"/>
</file>