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S6).</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p>
      <w:pPr>
        <w:keepNext/>
        <w:spacing w:after="50" w:before="12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w:t>
            </w:r>
          </w:p>
        </w:tc>
      </w:tr>
    </w:tbl>
    <w:p>
      <w:pPr>
        <w:pStyle w:val="Heading1"/>
      </w:pPr>
      <w:r>
        <w:t xml:space="preserve">Table S2. FIA design-based sensitivity to the large-tree threshold</w:t>
      </w:r>
    </w:p>
    <w:p>
      <w:pPr>
        <w:keepNext/>
        <w:spacing w:after="50" w:before="120"/>
      </w:pPr>
      <w:r>
        <w:rPr>
          <w:i/>
          <w:iCs/>
          <w:color w:val="555555"/>
          <w:sz w:val="18"/>
          <w:szCs w:val="18"/>
        </w:rPr>
        <w:t xml:space="preserve">Table S2. Design-based older-forest area (large-tree basal area domain) at three thresholds, with 95% CI and 2003-2024 trend. The increasing trend is robust to the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0.133</w:t>
            </w:r>
          </w:p>
        </w:tc>
      </w:tr>
    </w:tbl>
    <w:p>
      <w:pPr>
        <w:pStyle w:val="Heading1"/>
      </w:pPr>
      <w:r>
        <w:t xml:space="preserve">Table S2b. FIA older forest by ownership (private commercial vs public)</w:t>
      </w:r>
    </w:p>
    <w:p>
      <w:pPr>
        <w:keepNext/>
        <w:spacing w:after="50" w:before="120"/>
      </w:pPr>
      <w:r>
        <w:rPr>
          <w:i/>
          <w:iCs/>
          <w:color w:val="555555"/>
          <w:sz w:val="18"/>
          <w:szCs w:val="18"/>
        </w:rPr>
        <w:t xml:space="preserve">Table S2b. Design-based older-forest area by ownership group with 95% CI and 2003-2024 trend. Older forest is rising on private commercial timberland as well as public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0.044</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0.309</w:t>
            </w:r>
          </w:p>
        </w:tc>
      </w:tr>
    </w:tbl>
    <w:p>
      <w:pPr>
        <w:pStyle w:val="Heading1"/>
      </w:pPr>
      <w:r>
        <w:t xml:space="preserve">Table S3. Random forest stochasticity (20-seed ensemble)</w:t>
      </w:r>
    </w:p>
    <w:p>
      <w:pPr>
        <w:keepNext/>
        <w:spacing w:after="50" w:before="120"/>
      </w:pPr>
      <w:r>
        <w:rPr>
          <w:i/>
          <w:iCs/>
          <w:color w:val="555555"/>
          <w:sz w:val="18"/>
          <w:szCs w:val="18"/>
        </w:rPr>
        <w:t xml:space="preserve">Table S3. Mean, SD, and range across 20 random forest seeds for reproduced accuracy, wall-to-wall area, and cross-validation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max</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95.032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22.1</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4.339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185,787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0.079</w:t>
            </w:r>
          </w:p>
        </w:tc>
      </w:tr>
    </w:tbl>
    <w:p>
      <w:pPr>
        <w:pStyle w:val="Heading1"/>
      </w:pPr>
      <w:r>
        <w:t xml:space="preserve">Table S4. Cross-method disagreement by owner class</w:t>
      </w:r>
    </w:p>
    <w:p>
      <w:pPr>
        <w:keepNext/>
        <w:spacing w:after="50" w:before="120"/>
      </w:pPr>
      <w:r>
        <w:rPr>
          <w:i/>
          <w:iCs/>
          <w:color w:val="555555"/>
          <w:sz w:val="18"/>
          <w:szCs w:val="18"/>
        </w:rPr>
        <w:t xml:space="preserve">Table S4. Of the LSOG flagged by any method, the share that is contested (flagged by one or two methods, not all) by owner class. Disagreement is pervasive across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 contested</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99.3</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99.6</w:t>
            </w:r>
          </w:p>
        </w:tc>
      </w:tr>
    </w:tbl>
    <w:p>
      <w:pPr>
        <w:pStyle w:val="Heading1"/>
      </w:pPr>
      <w:r>
        <w:t xml:space="preserve">Table S5. TreeMap LSOG time series</w:t>
      </w:r>
    </w:p>
    <w:p>
      <w:pPr>
        <w:keepNext/>
        <w:spacing w:after="50" w:before="120"/>
      </w:pPr>
      <w:r>
        <w:rPr>
          <w:i/>
          <w:iCs/>
          <w:color w:val="555555"/>
          <w:sz w:val="18"/>
          <w:szCs w:val="18"/>
        </w:rPr>
        <w:t xml:space="preserve">Table S5. TreeMap-imputed LSOG area over 2016-2022 (native 30 m), Maine unorganized townships.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known ha</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3,765,076</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3,888,375</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3,876,445</w:t>
            </w:r>
          </w:p>
        </w:tc>
      </w:tr>
    </w:tbl>
    <w:p>
      <w:pPr>
        <w:pStyle w:val="Heading1"/>
      </w:pPr>
      <w:r>
        <w:t xml:space="preserve">Table S6. LiDAR prediction of structure, and old-growth discriminators</w:t>
      </w:r>
    </w:p>
    <w:p>
      <w:pPr>
        <w:keepNext/>
        <w:spacing w:after="50" w:before="120"/>
      </w:pPr>
      <w:r>
        <w:rPr>
          <w:i/>
          <w:iCs/>
          <w:color w:val="555555"/>
          <w:sz w:val="18"/>
          <w:szCs w:val="18"/>
        </w:rPr>
        <w:t xml:space="preserve">Table S6a.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0.23</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0.264</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0.526</w:t>
            </w:r>
          </w:p>
        </w:tc>
      </w:tr>
    </w:tbl>
    <w:p>
      <w:pPr>
        <w:keepNext/>
        <w:spacing w:after="50" w:before="120"/>
      </w:pPr>
      <w:r>
        <w:rPr>
          <w:i/>
          <w:iCs/>
          <w:color w:val="555555"/>
          <w:sz w:val="18"/>
          <w:szCs w:val="18"/>
        </w:rPr>
        <w:t xml:space="preserve">Table S6b. Old-growth discriminators (random forest variable importance) across LiDAR and ground-structure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importance (MDA)</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undefined</w:t>
            </w:r>
          </w:p>
        </w:tc>
      </w:tr>
    </w:tbl>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2026-06-10T19:42:40.603Z</dcterms:created>
  <dcterms:modified xsi:type="dcterms:W3CDTF">2026-06-10T19:42:40.604Z</dcterms:modified>
</cp:coreProperties>
</file>

<file path=docProps/custom.xml><?xml version="1.0" encoding="utf-8"?>
<Properties xmlns="http://schemas.openxmlformats.org/officeDocument/2006/custom-properties" xmlns:vt="http://schemas.openxmlformats.org/officeDocument/2006/docPropsVTypes"/>
</file>