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keepNext/>
      </w:pPr>
      <w:r>
        <w:t xml:space="preserve">1.  Introduction</w:t>
      </w:r>
    </w:p>
    <w:p>
      <w:pPr>
        <w:spacing w:after="74" w:line="252"/>
        <w:jc w:val="both"/>
      </w:pPr>
      <w:r>
        <w:rPr>
          <w:sz w:val="22"/>
          <w:szCs w:val="22"/>
        </w:rPr>
        <w:t xml:space="preserve">All maps and models are wrong; the only useful question is whether they are useful for the decision at hand (Box 1976). This is not a special weakness of forest mapping, and we raise it in that constructive spirit. It is simply more acute for late-successional and old-growth (LSOG) forest, because LSOG is a continuous, multi-dimensional, and partly subjective condition that any classification must force into discrete classes (Gray et al. 2023). The map of Hagan et al. (2026) is a useful and timely product, and the useful question for it is the same as for any map: is it fit for the decision now being made with it, the prioritization of roughly $200-300 million in conservation funding under Maine's LD 1529 (Thompson et al. 2026)? Fitness at those stakes depends on properties the original analysis did not report: the map's agreement with independent maps and with unbiased ground inventory, and a confidence interval on the quantities taken from it. We provide both, using the authors' own archived data and public inventory over the same area, in the hope of strengthening, not diminishing, the use of LiDAR for this purpose.</w:t>
      </w:r>
    </w:p>
    <w:p>
      <w:pPr>
        <w:spacing w:after="74" w:line="252"/>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 The authors are also candid about the limits of the work: they include a Limitations section, report that the model classifies true old growth correctly only 29.4% of the time, state that they could not estimate ingrowth, emphasize that old-forest definitions vary widely and materially change the result, and recommend ground-truthing before any management or conservation decision. Our aim is not to dispute these caveats but to quantify them, because the map is now being used quantitatively, for parcel-level prioritization and cost estimation, at a scale to which its stated uncertainties were never propagated.</w:t>
      </w:r>
    </w:p>
    <w:p>
      <w:pPr>
        <w:spacing w:after="74" w:line="252"/>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The original authors engage much of this literature, citing the national FIA assessments, the wicked-problem synthesis, and GEDI-based structural work; what the analysis does not do is use any independent product as a benchmark, place a sampling interval on its quantities, or ground the Maine estimate in the design-based inventory.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74" w:line="252"/>
        <w:jc w:val="both"/>
      </w:pPr>
      <w:r>
        <w:rPr>
          <w:sz w:val="22"/>
          <w:szCs w:val="22"/>
        </w:rPr>
        <w:t xml:space="preserve">Underlying the debate is a question it has largely skipped: what is late-successional and old-growth forest? It is not one attribute but a multidimensional condition, spanning large old live trees and structural complexity, abundant standing and downed dead wood, compositional maturity, and temporal continuity since the last stand-replacing disturbance (Franklin and Van Pelt 2004; Wirth et al. 2009; Gray et al. 2023). These axes develop on different schedules and do not move together. On the authors' own plots a dominant stand-development gradient explains 59% of the variance among the defining attributes, but dead wood is only moderately tied to live structure (Spearman r about 0.5, roughly a quarter of shared variance), so a stand can be tall and big-treed yet deadwood-poor, or old and complex yet recently disturbed (Section 4). Because the axes partly decouple, any single-threshold map reifies a continuous, multidimensional condition into one line, and which hectares fall on either side depends on which axis and threshold an objective privileges, whether biodiversity, carbon, or primary-forest protection. The disagreement we document among credible maps is, in large part, the empirical signature of that multidimensionality rather than a defect of any one product.</w:t>
      </w:r>
    </w:p>
    <w:p>
      <w:pPr>
        <w:spacing w:after="74" w:line="252"/>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unbiased baseline the LiDAR map approximates (unbiased for amount, though imprecise at FIA's plot density), places the amount of older forest with a sampling-error confidence interval the original analysis did not report, and shows the stock to be stable or increasing rather than rapidly declining (Section 5). Sections 6 and 7 then place Maine in a New England context, show how little older forest is already protected, and demonstrate a constructive ensemble-and-uncertainty alternative; Section 8 then distills these into a repeatable multi-axis classification of true LSOG, and Sections 9 and 10 give implications and recommendations.</w:t>
      </w:r>
    </w:p>
    <w:p>
      <w:pPr>
        <w:pStyle w:val="Heading1"/>
        <w:keepNext/>
      </w:pPr>
      <w:r>
        <w:t xml:space="preserve">2.  Training accuracy is high for every approach, and is not the issue</w:t>
      </w:r>
    </w:p>
    <w:p>
      <w:pPr>
        <w:spacing w:after="74" w:line="252"/>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p>
      <w:pPr>
        <w:keepNext/>
        <w:spacing w:after="48" w:before="110"/>
      </w:pPr>
      <w:r>
        <w:rPr>
          <w:i/>
          <w:iCs/>
          <w:color w:val="555555"/>
          <w:sz w:val="18"/>
          <w:szCs w:val="18"/>
        </w:rPr>
        <w:t xml:space="preserve">Table 1. Cross-validated AUC (mean [95% interval]) recovering the field-assigned class from three predictor sets, on the 463 archived training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cantSplit/>
        </w:trP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Ground structure</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0.966 [0.962, 0.969]</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0.970 [0.967, 0.973]</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0.974 [0.966, 0.981]</w:t>
            </w:r>
          </w:p>
        </w:tc>
      </w:tr>
    </w:tbl>
    <w:p>
      <w:pPr>
        <w:spacing w:after="74" w:line="252"/>
        <w:jc w:val="both"/>
      </w:pPr>
      <w:r>
        <w:rPr>
          <w:sz w:val="22"/>
          <w:szCs w:val="22"/>
        </w:rPr>
        <w:t xml:space="preserve">Reproducing the published random forest, the out-of-bag confusion matrix makes the same point graphically (Fig. 1): the model recovers Not-LSOG (95%) and the broad classes well, but classifies true old growth correctly only about a quarter of the time (24% in our reproduction, close to the 29.4% the authors report; the small difference is random-forest stochasticity on the 17 old-growth plots), confusing it mostly with late-successional and transitioning forest. Because old growth is the rare, high-value class a prioritization actually targets, this is the operating-point performance that matters. The mapped extent is also sensitive to the probability cutoff used to call a pixel LSOG: across plausible cutoffs the fraction of labelled plots called LSOG, the overall accuracy, and the true-skill statistic all shift substantially (Fig. 2; this is computed on the labelled plots to show the leverage of the cutoff, and reflects training prevalence rather than landscape area). The threshold-independent rank ability is itself high (out-of-bag ROC AUC 0.979 [0.967, 0.989]), so the issue is not that the classifier ranks poorly; it is that the single cutoff baked into a delivered map, and the extent that cutoff produces, are consequential and rarely reported.</w:t>
      </w:r>
    </w:p>
    <w:p>
      <w:pPr>
        <w:keepNext/>
        <w:spacing w:after="40" w:before="120"/>
        <w:jc w:val="center"/>
      </w:pPr>
      <w:r>
        <w:drawing>
          <wp:inline distT="0" distB="0" distL="0" distR="0">
            <wp:extent cx="3352800" cy="2686050"/>
            <wp:effectExtent t="0" r="0" b="0" l="0"/>
            <wp:docPr id="1" name="Fig. 1. Out-of-bag confusion matrix for the reproduced airborne-LiDAR random forest, row-normalized (cell counts in parentheses). True old growth is classified correctly only 24% of the time, mostly confused with late-successional and transitioning forest." descr="Fig. 1. Out-of-bag confusion matrix for the reproduced airborne-LiDAR random forest, row-normalized (cell counts in parentheses). True old growth is classified correctly only 24% of the time, mostly confused with late-successional and transitioning forest." title="Fig. 1. Out-of-bag confusion matrix for the reproduced airborne-LiDAR random forest, row-normalized (cell counts in parentheses). True old growth is classified correctly only 24% of the time, mostly confused with late-successional and transitioning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52800" cy="2686050"/>
                    </a:xfrm>
                    <a:prstGeom prst="rect">
                      <a:avLst/>
                    </a:prstGeom>
                  </pic:spPr>
                </pic:pic>
              </a:graphicData>
            </a:graphic>
          </wp:inline>
        </w:drawing>
      </w:r>
    </w:p>
    <w:p>
      <w:pPr>
        <w:spacing w:after="118" w:before="48"/>
      </w:pPr>
      <w:r>
        <w:rPr>
          <w:i/>
          <w:iCs/>
          <w:color w:val="555555"/>
          <w:sz w:val="18"/>
          <w:szCs w:val="18"/>
        </w:rPr>
        <w:t xml:space="preserve">Fig. 1. Out-of-bag confusion matrix for the reproduced airborne-LiDAR random forest, row-normalized (cell counts in parentheses). True old growth is classified correctly only 24% of the time, mostly confused with late-successional and transitioning forest.</w:t>
      </w:r>
    </w:p>
    <w:p>
      <w:pPr>
        <w:keepNext/>
        <w:spacing w:after="40" w:before="120"/>
        <w:jc w:val="center"/>
      </w:pPr>
      <w:r>
        <w:drawing>
          <wp:inline distT="0" distB="0" distL="0" distR="0">
            <wp:extent cx="3771900" cy="2638425"/>
            <wp:effectExtent t="0" r="0" b="0" l="0"/>
            <wp:docPr id="1" nam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descr="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titl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71900" cy="2638425"/>
                    </a:xfrm>
                    <a:prstGeom prst="rect">
                      <a:avLst/>
                    </a:prstGeom>
                  </pic:spPr>
                </pic:pic>
              </a:graphicData>
            </a:graphic>
          </wp:inline>
        </w:drawing>
      </w:r>
    </w:p>
    <w:p>
      <w:pPr>
        <w:spacing w:after="118" w:before="48"/>
      </w:pPr>
      <w:r>
        <w:rPr>
          <w:i/>
          <w:iCs/>
          <w:color w:val="555555"/>
          <w:sz w:val="18"/>
          <w:szCs w:val="18"/>
        </w:rPr>
        <w:t xml:space="preserv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w:t>
      </w:r>
    </w:p>
    <w:p>
      <w:pPr>
        <w:pStyle w:val="Heading1"/>
        <w:keepNext/>
      </w:pPr>
      <w:r>
        <w:t xml:space="preserve">3.  High training accuracy does not produce map agreement</w:t>
      </w:r>
    </w:p>
    <w:p>
      <w:pPr>
        <w:spacing w:after="74" w:line="252"/>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our reproduction of the Hagan classifier, close to the 19.7% the authors report in their Table 7 (the small difference reflects grid resolution and analysis extent), against 14.0% under the canopy-height model and 7.8% under TreeMap, a 2.5- to 2.8-fold range. Spatially, the Hagan and canopy-height maps overlap on only about 21% of the hectares either one flags (Cohen's kappa 0.21); across all three methods, only 21% of the flagged footprint is agreed by all three, and more than half is flagged by a single method (Table 2; Fig. 3). Part of any pixel-level disagreement reflects geolocation and co-registration error among the products rather than true classification difference: spaceborne GEDI footprints alone carry a systematic geolocation error on the order of 10 m (Shannon et al. 2024), and airborne LiDAR and NAIP-derived products are not free of positional error either. This is one reason we emphasize the disagreement in total amount, which is insensitive to position; aggregate the comparison to 8-km hexagons, where such error averages out (Appendix S1); and treat the design-based FIA estimate, which carries no map geolocation error at all, as the reference (Section 5).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(built on a noisier, GEDI-calibrated product)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keepNext/>
        <w:spacing w:after="48" w:before="110"/>
      </w:pPr>
      <w:r>
        <w:rPr>
          <w:i/>
          <w:iCs/>
          <w:color w:val="555555"/>
          <w:sz w:val="18"/>
          <w:szCs w:val="18"/>
        </w:rPr>
        <w:t xml:space="preserve">Table 2. Wall-to-wall any-LSOG area and pairwise agreement across three independent maps over the study area. The Hagan any-LSOG area is our reproduction (21.9%); the authors report 19.7% in their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rP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Jaccard vs Hagan</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0.03</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r>
    </w:tbl>
    <w:p>
      <w:pPr>
        <w:keepNext/>
        <w:spacing w:after="40" w:before="120"/>
        <w:jc w:val="center"/>
      </w:pPr>
      <w:r>
        <w:drawing>
          <wp:inline distT="0" distB="0" distL="0" distR="0">
            <wp:extent cx="3219450" cy="4257675"/>
            <wp:effectExtent t="0" r="0" b="0" l="0"/>
            <wp:docPr id="1" name="Fig. 3. Cross-map disagreement. (a) any-LSOG area by method (2.8-fold range); (b) the same 24-km window classified by each method; (c) only 21% of the flagged footprint is agreed by all three; (d) overlap of the top-priority protected hectares between maps (Jaccard 0.16-0.30)." descr="Fig. 3. Cross-map disagreement. (a) any-LSOG area by method (2.8-fold range); (b) the same 24-km window classified by each method; (c) only 21% of the flagged footprint is agreed by all three; (d) overlap of the top-priority protected hectares between maps (Jaccard 0.16-0.30)." title="Fig. 3.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4257675"/>
                    </a:xfrm>
                    <a:prstGeom prst="rect">
                      <a:avLst/>
                    </a:prstGeom>
                  </pic:spPr>
                </pic:pic>
              </a:graphicData>
            </a:graphic>
          </wp:inline>
        </w:drawing>
      </w:r>
    </w:p>
    <w:p>
      <w:pPr>
        <w:spacing w:after="118" w:before="48"/>
      </w:pPr>
      <w:r>
        <w:rPr>
          <w:i/>
          <w:iCs/>
          <w:color w:val="555555"/>
          <w:sz w:val="18"/>
          <w:szCs w:val="18"/>
        </w:rPr>
        <w:t xml:space="preserve">Fig. 3. Cross-map disagreement. (a) any-LSOG area by method (2.8-fold range); (b) the same 24-km window classified by each method; (c) only 21% of the flagged footprint is agreed by all three; (d) overlap of the top-priority protected hectares between maps (Jaccard 0.16-0.30).</w:t>
      </w:r>
    </w:p>
    <w:p>
      <w:pPr>
        <w:spacing w:after="74" w:line="252"/>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3).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74" w:line="252"/>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 The authors themselves emphasize that definitions vary and materially change the result, citing a landscape where relaxing the old-growth definition moved the estimate from 2.7% to 15%; the cross-method spread we document is that same sensitivity expressed spatially.</w:t>
      </w:r>
    </w:p>
    <w:p>
      <w:pPr>
        <w:spacing w:after="74" w:line="252"/>
        <w:jc w:val="both"/>
      </w:pPr>
      <w:r>
        <w:rPr>
          <w:sz w:val="22"/>
          <w:szCs w:val="22"/>
        </w:rPr>
        <w:t xml:space="preserve">An independently authored product points the same way. The U.S. Forest Service national old-growth inventory (Pelz et al. 2023), built under region-specific structural definitions, can be compared against the field-structure classification used here on the FIA plots where both apply, the National Forest System plots in the region (n about 925, concentrated in New Hampshire and Vermont because Maine holds little federal forest). The two agree only weakly: Cohen's kappa is 0.25 for the late-successional-plus-old-growth class and 0.12 for any-LSOG (Appendix S1: Table S9). Because Pelz et al. is a third-party operationalization rather than one of our reproductions, this addresses the obvious objection that maps disagree only when compared with their own variants; credible, independently authored definitions of old forest disagree at the plot level too. The sample is small and federal, so we read it as corroboration rather than a primary result.</w:t>
      </w:r>
    </w:p>
    <w:p>
      <w:pPr>
        <w:pStyle w:val="Heading1"/>
        <w:keepNext/>
      </w:pPr>
      <w:r>
        <w:t xml:space="preserve">4.  What old growth is, and what a canopy sensor can see</w:t>
      </w:r>
    </w:p>
    <w:p>
      <w:pPr>
        <w:spacing w:after="74" w:line="252"/>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The authors anticipate exactly this, proposing that future work add metrics such as canopy-gap density and large downed-log density to better separate late-successional from true old-growth forest; our analysis quantifies why those additions are needed.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p>
      <w:pPr>
        <w:keepNext/>
        <w:spacing w:after="48" w:before="110"/>
      </w:pPr>
      <w:r>
        <w:rPr>
          <w:i/>
          <w:iCs/>
          <w:color w:val="555555"/>
          <w:sz w:val="18"/>
          <w:szCs w:val="18"/>
        </w:rPr>
        <w:t xml:space="preserve">Table 3. Cross-validated R-squared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cantSplit/>
        </w:trP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CV R-squared from 8 LiDAR metrics</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0.68</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0.59</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0.51</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0.24</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0.20</w:t>
            </w:r>
          </w:p>
        </w:tc>
      </w:tr>
    </w:tbl>
    <w:p>
      <w:pPr>
        <w:spacing w:after="74" w:line="252"/>
        <w:jc w:val="both"/>
      </w:pPr>
      <w:r>
        <w:rPr>
          <w:sz w:val="22"/>
          <w:szCs w:val="22"/>
        </w:rPr>
        <w:t xml:space="preserve">These mechanics reflect what LSOG fundamentally is. The ground attributes that define it, live basal area, large trees, diameter diversity, snags, and coarse woody debris, share a dominant gradient (the first principal component explains 59% of their variance) but split into partially independent dimensions: the live-structure metrics correlate strongly with one another (r 0.76 to 0.98), whereas dead wood (snags and coarse woody debris) correlates only moderately with them (r about 0.4 to 0.5) and forms a separate axis (Fig. 4). This is decisive for mapping. A canopy sensor resolves the live-structure gradient, and even that imperfectly, but is nearly blind to the dead-wood axis (R-squared 0.20 to 0.24; Table 3), so it cannot by construction recover the full condition; and it cannot see compositional maturity or disturbance history at all. The disturbance-history axis is the sharpest case in Maine's working forest: legacy skid trails and prior partial harvest are pervasive even in stands a canopy classifier labels LSOG, evidence of past entry that is visible on the ground and in fine imagery but invisible to canopy metrics, so a stand can present a late-successional canopy while scoring low on continuity. Continuity is one weighted axis, valued differently by objective, not an absolute disqualifier of ecological maturity, but it is real and a canopy sensor cannot see it. True old growth is the joint position on these structural and dead-wood axes together with a temporal-continuity dimension that no single-date canopy sensor observes, which is why ground plots remain indispensable and why the design-based FIA estimate (Section 5), which measures every axis directly on a probability sample, is the right anchor for how much exists. (These 463 plots are a purposive training sample, so the dimensionality above is conditional on that design; the design-based FIA estimate remains the population anchor.)</w:t>
      </w:r>
    </w:p>
    <w:p>
      <w:pPr>
        <w:keepNext/>
        <w:spacing w:after="40" w:before="120"/>
        <w:jc w:val="center"/>
      </w:pPr>
      <w:r>
        <w:drawing>
          <wp:inline distT="0" distB="0" distL="0" distR="0">
            <wp:extent cx="3619500" cy="2971800"/>
            <wp:effectExtent t="0" r="0" b="0" l="0"/>
            <wp:docPr id="1" nam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descr="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titl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971800"/>
                    </a:xfrm>
                    <a:prstGeom prst="rect">
                      <a:avLst/>
                    </a:prstGeom>
                  </pic:spPr>
                </pic:pic>
              </a:graphicData>
            </a:graphic>
          </wp:inline>
        </w:drawing>
      </w:r>
    </w:p>
    <w:p>
      <w:pPr>
        <w:spacing w:after="118" w:before="48"/>
      </w:pPr>
      <w:r>
        <w:rPr>
          <w:i/>
          <w:iCs/>
          <w:color w:val="555555"/>
          <w:sz w:val="18"/>
          <w:szCs w:val="18"/>
        </w:rPr>
        <w:t xml:space="preserv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w:t>
      </w:r>
    </w:p>
    <w:p>
      <w:pPr>
        <w:pStyle w:val="Heading1"/>
        <w:keepNext/>
      </w:pPr>
      <w:r>
        <w:t xml:space="preserve">5.  Ground-based inventory: the estimate, with the interval the map omits</w:t>
      </w:r>
    </w:p>
    <w:p>
      <w:pPr>
        <w:spacing w:after="74" w:line="252"/>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FIA is unbiased for area but, at its plot density, imprecise; its sparse sample cannot by itself locate or rule out the rare, small LSOG patches a wall-to-wall map can flag. Inventory and map are therefore complementary, not rival: the inventory bounds how much exists, while a verified map locates candidate patches the sparse plots may miss.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same holds across age thresholds (Supporting Information, Fig. S4), where the level depends on the criterion but the increasing direction does not. The point estimate for older forest brackets the published LS+OGL figure of 3.9%, which is reassuring, but the original analysis reported that figure without an interval; the unbiased ground baseline places it in a range of roughly 3.3 to 4.6%, and that uncertainty, partly a matter of FIA's sampling intensity, is exactly what a $200-300 million prioritization should carry.</w:t>
      </w:r>
    </w:p>
    <w:p>
      <w:pPr>
        <w:spacing w:after="74" w:line="252"/>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loss criterion is also broad: a mapped hectare is counted as lost when Global Forest Watch records more than 30% canopy removal in a 30 m pixel, which includes the partial and low-grade harvests that, as the authors note for public lands, often retain late-successional structure, so the metric conflates partial harvest with stand conversion. The original authors are explicit about this asymmetry: they state they had no way in this study to estimate the amount and rate of forest growing into an LSOG condition, and they note that on federal Pacific Northwest forests older forest increased over 1993-2017 because ingrowth exceeded harvest (Hagan et al. 2026). Our design-based series supplies the side their data could not, and it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5);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 A single-date classification is also a snapshot: it cannot credit the LSOG that ongoing conservation and natural ingrowth will produce decades hence. The authors note that the transitioning class, 15.8% of the area (about 1.9 million ha), comprises the best candidates to become late-successional in 25 to 50 years and old growth in roughly a century, and that reserved lands will mature into LSOG; a map that reports current loss without this maturing pipeline understates the trajectory that easements, reserves, and set-asides are deliberately building toward outcomes 30 to 50 years out.</w:t>
      </w:r>
    </w:p>
    <w:p>
      <w:pPr>
        <w:spacing w:after="74" w:line="252"/>
        <w:jc w:val="both"/>
      </w:pPr>
      <w:r>
        <w:rPr>
          <w:sz w:val="22"/>
          <w:szCs w:val="22"/>
        </w:rPr>
        <w:t xml:space="preserve">Finally, the original analysis does not benchmark its map against any independent product; although it references GEDI-based structural work (de Conto et al. 2024), the spaceborne canopy-height products covering the area (Potapov et al. 2021; Lang et al. 2023) are neither cited nor used as a cross-check. These are global and free but coarser and noisier than airborne LiDAR, with documented accuracy limits (Moudry et al. 2024); we use the canopy-height product only as one operationalization to demonstrate disagreement (Section 3), never as a reference. The unbiased baseline throughout is the design-based FIA estimate, with the cross-map comparison establishing that credible alternatives disagree.</w:t>
      </w:r>
    </w:p>
    <w:p>
      <w:pPr>
        <w:keepNext/>
        <w:spacing w:after="48" w:before="110"/>
      </w:pPr>
      <w:r>
        <w:rPr>
          <w:i/>
          <w:iCs/>
          <w:color w:val="555555"/>
          <w:sz w:val="18"/>
          <w:szCs w:val="18"/>
        </w:rPr>
        <w:t xml:space="preserve">Table 4. FIA design-based older-forest area (2024) with 95% CI, statewide and in the northern timberland units, with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+0.19 [0.15, 0.23]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+0.065 [0.054, 0.075]</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+0.000 [-0.005, 0.006]</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+0.17 [0.15, 0.18]</w:t>
            </w:r>
          </w:p>
        </w:tc>
      </w:tr>
    </w:tbl>
    <w:p>
      <w:pPr>
        <w:keepNext/>
        <w:spacing w:after="40" w:before="120"/>
        <w:jc w:val="center"/>
      </w:pPr>
      <w:r>
        <w:drawing>
          <wp:inline distT="0" distB="0" distL="0" distR="0">
            <wp:extent cx="2514600" cy="4067175"/>
            <wp:effectExtent t="0" r="0" b="0" l="0"/>
            <wp:docPr id="1" nam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descr="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titl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14600" cy="4067175"/>
                    </a:xfrm>
                    <a:prstGeom prst="rect">
                      <a:avLst/>
                    </a:prstGeom>
                  </pic:spPr>
                </pic:pic>
              </a:graphicData>
            </a:graphic>
          </wp:inline>
        </w:drawing>
      </w:r>
    </w:p>
    <w:p>
      <w:pPr>
        <w:spacing w:after="118" w:before="48"/>
      </w:pPr>
      <w:r>
        <w:rPr>
          <w:i/>
          <w:iCs/>
          <w:color w:val="555555"/>
          <w:sz w:val="18"/>
          <w:szCs w:val="18"/>
        </w:rPr>
        <w:t xml:space="preserv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w:t>
      </w:r>
    </w:p>
    <w:p>
      <w:pPr>
        <w:pStyle w:val="Heading1"/>
        <w:keepNext/>
      </w:pPr>
      <w:r>
        <w:t xml:space="preserve">6.  Beyond Maine: increasing older forest and limited existing protection</w:t>
      </w:r>
    </w:p>
    <w:p>
      <w:pPr>
        <w:spacing w:after="74" w:line="252"/>
        <w:jc w:val="both"/>
      </w:pPr>
      <w:r>
        <w:rPr>
          <w:sz w:val="22"/>
          <w:szCs w:val="22"/>
        </w:rPr>
        <w:t xml:space="preserve">The Maine result is not an isolate. Applying the same design-based estimator across New England, older forest is stable to increasing in every state over the FIA record, by both stand age and large-tree basal area, with none declining (Fig. 6, Table 5). The two criteria diverge sharply by geography: large-tree basal area runs from 12.5% in Maine, the most intensively managed state, to 38 to 58% in the southern New England states whose forests regrew from near-complete nineteenth-century clearing, while stand age &gt;= 120 yr stays low everywhere (about 1 to 7%). The high southern values are mature second-growth hardwood, structurally large-treed but not old growth, the big-trees-are-not-old-growth point of Section 4 at regional scale. That divergence is the definitional sensitivity of Section 3 expressed geographically: which number one reports depends as much on the criterion chosen as on the forest itself, which is the central reason a single mapped class is a fragile basis for region-wide policy.</w:t>
      </w:r>
    </w:p>
    <w:p>
      <w:pPr>
        <w:keepNext/>
        <w:spacing w:after="40" w:before="120"/>
        <w:jc w:val="center"/>
      </w:pPr>
      <w:r>
        <w:drawing>
          <wp:inline distT="0" distB="0" distL="0" distR="0">
            <wp:extent cx="3924300" cy="2619375"/>
            <wp:effectExtent t="0" r="0" b="0" l="0"/>
            <wp:docPr id="1" nam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descr="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titl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4300" cy="2619375"/>
                    </a:xfrm>
                    <a:prstGeom prst="rect">
                      <a:avLst/>
                    </a:prstGeom>
                  </pic:spPr>
                </pic:pic>
              </a:graphicData>
            </a:graphic>
          </wp:inline>
        </w:drawing>
      </w:r>
    </w:p>
    <w:p>
      <w:pPr>
        <w:spacing w:after="118" w:before="48"/>
      </w:pPr>
      <w:r>
        <w:rPr>
          <w:i/>
          <w:iCs/>
          <w:color w:val="555555"/>
          <w:sz w:val="18"/>
          <w:szCs w:val="18"/>
        </w:rPr>
        <w:t xml:space="preserv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w:t>
      </w:r>
    </w:p>
    <w:p>
      <w:pPr>
        <w:keepNext/>
        <w:spacing w:after="48" w:before="110"/>
      </w:pPr>
      <w:r>
        <w:rPr>
          <w:i/>
          <w:iCs/>
          <w:color w:val="555555"/>
          <w:sz w:val="18"/>
          <w:szCs w:val="18"/>
        </w:rPr>
        <w:t xml:space="preserve">Table 5. Design-based older forest in New England (latest inventory year), by state, under two criteria. Both rise in every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2880"/>
        <w:gridCol w:w="1200"/>
      </w:tblGrid>
      <w:tr>
        <w:trPr>
          <w:cantSplit/>
        </w:trPr>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Stand age &gt;= 120 yr % [95% CI]</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BA % [95% CI]</w:t>
            </w:r>
          </w:p>
        </w:tc>
        <w:tc>
          <w:tcPr>
            <w:tcW w:type="dxa" w:w="1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Maine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New Hampshire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1.8 [0.9, 2.6]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37.9 [34.7, 41.0]</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Vermont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1.0 [0.4, 1.6]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39.1 [35.8, 42.4]</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Massachusetts</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 [0.4, 2.5]</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56.1 [51.6, 60.7]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Connecticut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6.8 [3.8, 9.8]</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57.7 [51.6, 63.8]</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Rhode Island</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 [0.0, 3.1]</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47.0 [37.9, 56.1]</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both rising</w:t>
            </w:r>
          </w:p>
        </w:tc>
      </w:tr>
    </w:tbl>
    <w:p>
      <w:pPr>
        <w:spacing w:after="74" w:line="252"/>
        <w:jc w:val="both"/>
      </w:pPr>
      <w:r>
        <w:rPr>
          <w:sz w:val="22"/>
          <w:szCs w:val="22"/>
        </w:rPr>
        <w:t xml:space="preserve">A second question bears directly on the policy use of the map: how much older forest is already protected? Using FIA reserved status (RESERVCD, the legal withholding of land from harvest, a conservative lower bound on conserved area because it excludes working easements that permit some cutting), only 11.9% [5.9, 17.9] of Maine older forest (stand age &gt;= 120 yr) is formally reserved, and essentially all of it is on public land; of the broader large-tree structural resource only 5.7% [3.3, 8.1] is reserved (Table 6). Older forest is overwhelmingly private (77% by age, 85% by structure) and almost entirely outside formal protection. The resource a large acquisition program would target is therefore mostly private working forest, the setting in which the map's accuracy, and the owner-by-owner uncertainty documented above, matter most before money moves. A finer split of protection by mechanism (fee versus easement) would draw on the Protected Areas Database; the design-based shares here establish the headline that the great majority of older forest is private and unprotected.</w:t>
      </w:r>
    </w:p>
    <w:p>
      <w:pPr>
        <w:keepNext/>
        <w:spacing w:after="48" w:before="110"/>
      </w:pPr>
      <w:r>
        <w:rPr>
          <w:i/>
          <w:iCs/>
          <w:color w:val="555555"/>
          <w:sz w:val="18"/>
          <w:szCs w:val="18"/>
        </w:rPr>
        <w:t xml:space="preserve">Table 6. Share of Maine older forest formally reserved (FIA RESERVCD, a conservative lower bound on conserved area) and its ownership, design-based with 95% CI. Reserved older forest is almost entirely public; private older forest is essentially unreserved (below the sampling detection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Share of older forest that is ...</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Older forest (age &gt;= 120 yr)</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forest (&gt;=16 in)</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reserved (protected)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11.9% [5.9, 17.9]</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 [3.3, 8.1]</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private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77.0% [61.8, 92.3]</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84.6% [76.1, 93.2]</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public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23.0% [15.1, 30.8]</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15.4% [11.8, 18.9]</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private AND reserved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r>
    </w:tbl>
    <w:p>
      <w:pPr>
        <w:pStyle w:val="Heading1"/>
        <w:keepNext/>
      </w:pPr>
      <w:r>
        <w:t xml:space="preserve">7.  A demonstrated prototype: an ensemble agreement score and an uncertainty layer</w:t>
      </w:r>
    </w:p>
    <w:p>
      <w:pPr>
        <w:spacing w:after="74" w:line="252"/>
        <w:jc w:val="both"/>
      </w:pPr>
      <w:r>
        <w:rPr>
          <w:sz w:val="22"/>
          <w:szCs w:val="22"/>
        </w:rPr>
        <w:t xml:space="preserve">The recommendation to replace a single map with an ensemble and an explicit uncertainty layer is not hypothetical; we demonstrate it with the products already in hand. Combining the independent operationalizations into an unweighted agreement (membership) surface, with the cross-method standard deviation as a companion uncertainty layer, locates where the methods concur and where they do not. Because two of the inputs are binary class indicators and one is continuous, the surface is an agreement score rather than a calibrated probability, which is sufficient for finding agreement. At the Maine scale (a prototype is in the Supporting Information), cross-method disagreement per 8 km hexagon averages 0.22 (interquartile range 0.19, reaching 0.43 at the 90th percentile) and is highest where the agreement score is intermediate, the transitioning envelope that drives the cost; the defensible acquisition targets are the small high-agreement, low-uncertainty core, while most of the landscape carries high uncertainty where a single map should not by itself move a purchase. The same ensemble extends directly across New England, letting a program prioritize by confidence rather than by one classifier and converting the recommendation of Section 10 into routine practice.</w:t>
      </w:r>
    </w:p>
    <w:p>
      <w:pPr>
        <w:spacing w:after="74" w:line="252"/>
        <w:jc w:val="both"/>
      </w:pPr>
      <w:r>
        <w:rPr>
          <w:sz w:val="22"/>
          <w:szCs w:val="22"/>
        </w:rPr>
        <w:t xml:space="preserve">Across the region (Fig. 7), because no trustworthy fine-resolution LSOG map exists region-wide and TreeMap is an imputed product, we summarize the ensemble at the hexagon scale rather than imply pixel-level precision: each 25 km hexagon carries the mean of three transparent ground definitions taken from the FIA condition imputed to each pixel (structural class, stand age &gt;= 120 yr, and large-tree basal area), with their standard deviation as the uncertainty. Across the region the three definitions rarely coincide: only 8.9% of forested area reaches high agreement (two or more definitions), just 0.7% satisfies all three, and 24% of the area carries high uncertainty (cross-definition SD &gt;= 0.4). This is the definitional ambiguity of Section 3 made regional. It is also cross-consistent with the design-based state estimates of Section 6, and it is exactly the layer a prioritization should consult, mapping by confidence and flagging the high-uncertainty majority, before any single classification drives acquisition. We present it hexagonally on purpose: finer resolution would overstate what an imputed product can support.</w:t>
      </w:r>
    </w:p>
    <w:p>
      <w:pPr>
        <w:keepNext/>
        <w:spacing w:after="40" w:before="120"/>
        <w:jc w:val="center"/>
      </w:pPr>
      <w:r>
        <w:drawing>
          <wp:inline distT="0" distB="0" distL="0" distR="0">
            <wp:extent cx="2514600" cy="3429000"/>
            <wp:effectExtent t="0" r="0" b="0" l="0"/>
            <wp:docPr id="1" nam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descr="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titl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14600" cy="3429000"/>
                    </a:xfrm>
                    <a:prstGeom prst="rect">
                      <a:avLst/>
                    </a:prstGeom>
                  </pic:spPr>
                </pic:pic>
              </a:graphicData>
            </a:graphic>
          </wp:inline>
        </w:drawing>
      </w:r>
    </w:p>
    <w:p>
      <w:pPr>
        <w:spacing w:after="118" w:before="48"/>
      </w:pPr>
      <w:r>
        <w:rPr>
          <w:i/>
          <w:iCs/>
          <w:color w:val="555555"/>
          <w:sz w:val="18"/>
          <w:szCs w:val="18"/>
        </w:rPr>
        <w:t xml:space="preserv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w:t>
      </w:r>
    </w:p>
    <w:p>
      <w:pPr>
        <w:pStyle w:val="Heading1"/>
        <w:keepNext/>
      </w:pPr>
      <w:r>
        <w:t xml:space="preserve">8.  Toward a repeatable classification of true LSOG</w:t>
      </w:r>
    </w:p>
    <w:p>
      <w:pPr>
        <w:spacing w:after="74" w:line="252"/>
        <w:jc w:val="both"/>
      </w:pPr>
      <w:r>
        <w:rPr>
          <w:sz w:val="22"/>
          <w:szCs w:val="22"/>
        </w:rPr>
        <w:t xml:space="preserve">The constructive endpoint of this Comment is a classification that is repeatable and tied to what LSOG actually is. We define true LSOG as forest that satisfies multiple axes, not a single canopy proxy, each from transparent FIA measurements: live structure (large-tree basal area &gt;= 30 ft-sq/ac), dead wood (standing-dead basal area &gt;= 5 ft-sq/ac), compositional maturity (&gt;= 50% of live basal area in shade-tolerant, long-lived species), and temporal continuity (no recent cutting and natural stand origin). Because every criterion is a deterministic function of FIA condition and tree records, the classification is fully reproducible and yields a design-based area with a confidence interval. Requiring more axes narrows the class sharply (Fig. 8): 96% of Maine forestland meets at least one axis, 71% meets two, 30% meets three, and only 6.5% [5.6, 7.4] meets all four, which is the design-based estimate of true LSOG, sensibly between the strict age-based old growth (3.9%) and the broad canopy LSOG (about 20%). Live structure is the scarcest single axis (12.5%) and the most common one missing among near-LSOG stands; temporal continuity, captured here only by FIA treatment codes, is permissive because legacy partial harvest and skid trails are undercounted, so the true continuity-limited figure is plausibly lower. The specific cutoffs are illustrative and a formal threshold-sensitivity analysis is a priority; the dead-wood axis here uses standing snags only, because coarse woody debris was not in the inventory pull and would strengthen it, and continuity from treatment codes is permissive, so 6.5% is best read as an upper bound pending the disturbance-history layer. The requirement that several axes be met simultaneously, however, is what separates true LSOG from tall, big-treed, or merely mature forest, and is robust to the exact thresholds.</w:t>
      </w:r>
    </w:p>
    <w:p>
      <w:pPr>
        <w:keepNext/>
        <w:spacing w:after="40" w:before="120"/>
        <w:jc w:val="center"/>
      </w:pPr>
      <w:r>
        <w:drawing>
          <wp:inline distT="0" distB="0" distL="0" distR="0">
            <wp:extent cx="2762250" cy="3019425"/>
            <wp:effectExtent t="0" r="0" b="0" l="0"/>
            <wp:docPr id="1" nam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descr="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titl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3019425"/>
                    </a:xfrm>
                    <a:prstGeom prst="rect">
                      <a:avLst/>
                    </a:prstGeom>
                  </pic:spPr>
                </pic:pic>
              </a:graphicData>
            </a:graphic>
          </wp:inline>
        </w:drawing>
      </w:r>
    </w:p>
    <w:p>
      <w:pPr>
        <w:spacing w:after="118" w:before="48"/>
      </w:pPr>
      <w:r>
        <w:rPr>
          <w:i/>
          <w:iCs/>
          <w:color w:val="555555"/>
          <w:sz w:val="18"/>
          <w:szCs w:val="18"/>
        </w:rPr>
        <w:t xml:space="preserv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w:t>
      </w:r>
    </w:p>
    <w:p>
      <w:pPr>
        <w:spacing w:after="74" w:line="252"/>
        <w:jc w:val="both"/>
      </w:pPr>
      <w:r>
        <w:rPr>
          <w:sz w:val="22"/>
          <w:szCs w:val="22"/>
        </w:rPr>
        <w:t xml:space="preserve">This framework also charts the path from definition to map, by making explicit how observable each axis is. Live structure is the axis canopy LiDAR sees, and even that imperfectly; temporal continuity is observable not from a single date but from the satellite disturbance record, which we demonstrate here: intersecting the mapped LSOG with the Hansen Global Forest Change record (2001-2023), 24% of canopy-mapped LSOG has already experienced Landsat-detected stand-replacing disturbance, failing strict continuity even over this short window, while 76% is intact over the record (Supporting Information, Fig. S6); legacy harvest and skid trails predating 2001 and partial harvests are not captured, so this is a lenient test and the longer LCMS record (1985-) would tighten it. Dead wood and composition are largely invisible to canopy and passive optical sensors and require field plots or structural imputation that carries the full FIA condition. A defensible LSOG map is therefore a multi-layer product, canopy structure from LiDAR, a disturbance-history layer for continuity, and plot-anchored or imputed layers for dead wood and composition, combined into an agreement-and-uncertainty surface (Section 7) and calibrated against the design-based FIA estimate, which remains the unbiased anchor for how much exists. Which axes and thresholds are required should be set by the management objective (Table 7), so that the values choice is explicit rather than hidden inside a single classifier.</w:t>
      </w:r>
    </w:p>
    <w:p>
      <w:pPr>
        <w:keepNext/>
        <w:spacing w:after="48" w:before="110"/>
      </w:pPr>
      <w:r>
        <w:rPr>
          <w:i/>
          <w:iCs/>
          <w:color w:val="555555"/>
          <w:sz w:val="18"/>
          <w:szCs w:val="18"/>
        </w:rPr>
        <w:t xml:space="preserve">Table 7. The same multi-axis framework, tuned to the objective: which axes a given goal should emphasize. Making the choice explicit is what a single LSOG map hides.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2520"/>
        <w:gridCol w:w="4560"/>
      </w:tblGrid>
      <w:tr>
        <w:trPr>
          <w:cantSplit/>
        </w:trPr>
        <w:tc>
          <w:tcPr>
            <w:tcW w:type="dxa" w:w="22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Objective</w:t>
            </w:r>
          </w:p>
        </w:tc>
        <w:tc>
          <w:tcPr>
            <w:tcW w:type="dxa" w:w="252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Axes emphasized</w:t>
            </w:r>
          </w:p>
        </w:tc>
        <w:tc>
          <w:tcPr>
            <w:tcW w:type="dxa" w:w="45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Illustrative operational rule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Biodiversity / habitat</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dead wood, 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snags and downed wood present; no recent cutting; late-successional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Carbon stock</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structure (large trees)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large-tree basal area &gt;= 30 ft-sq/ac; high live basal area</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Primary-forest protection</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natural origin, no harvest history; shade-tolerant long-lived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Comprehensive true LSOG</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all four axes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meet all four simultaneously (6.5% [5.6, 7.4] of Maine forestland)</w:t>
            </w:r>
          </w:p>
        </w:tc>
      </w:tr>
    </w:tbl>
    <w:p>
      <w:pPr>
        <w:pStyle w:val="Heading1"/>
        <w:keepNext/>
      </w:pPr>
      <w:r>
        <w:t xml:space="preserve">9.  Implications</w:t>
      </w:r>
    </w:p>
    <w:p>
      <w:pPr>
        <w:spacing w:after="74" w:line="252"/>
        <w:jc w:val="both"/>
      </w:pPr>
      <w:r>
        <w:rPr>
          <w:sz w:val="22"/>
          <w:szCs w:val="22"/>
        </w:rPr>
        <w:t xml:space="preserve">None of the above argues against mapping LSOG with LiDAR, nor against conserving older forest in Maine, which we support. Read as what it measures, tall, large-tree forest, the classification is a valuable screening tool; read as a map of strict old-growth-grade forest to be protected at high cost, it counts much transitioning and late-successional forest and so exceeds the strict resource. That breadth is a legitimate, objective-dependent choice rather than an error, the transitioning class captures the small patches and lifeboats that retention ecology values, but it must be read as such, and local errors run in both directions. The risk lies less in the map than in its use: without cross-comparison, field verification, or assessment over time, a screening product carries unintended consequences into acquisition and policy, and the exposure is sharpest for the isolated single-hectare patches it is designed to find, where 1 ha classifications fall on stand boundaries and mixed conditions and the map is least reliable. A single classification, however well trained, is therefore not a sufficient basis for parcel-level expenditures of the magnitude now contemplated; the practices that would make it sufficient, benchmarking against the design-based FIA estimate, cross-comparison against an independent product, parcel-scale field verification (Shamgochian et al. 2025), and reporting uncertainty on every quantity with the harvest flux distinguished from the net stock, are the same ones distilled in Sections 7 and 8. These matter most where a map underwrites cost estimates at the scale of the recent statewide assessment (Thompson et al. 2026), whose $200-300 million estimate is computed parcel by parcel from the mapped patches and inherits the map's accuracy and uncertainty directly.</w:t>
      </w:r>
    </w:p>
    <w:p>
      <w:pPr>
        <w:spacing w:after="74" w:line="252"/>
        <w:jc w:val="both"/>
      </w:pPr>
      <w:r>
        <w:rPr>
          <w:sz w:val="22"/>
          <w:szCs w:val="22"/>
        </w:rPr>
        <w:t xml:space="preserve">Where LSOG sits on the landscape is itself informative about risk. Overlaying the mapped LSOG with terrain and the satellite disturbance record (Supporting Information, Fig. S5), using the airborne Hagan map as the LSOG layer so the comparison is independent of the TreeMap-derived disturbance product, and with slope as a first-order accessibility proxy pending the harvest-probability surface now in development, it concentrates on steeper, less accessible ground (median slope 5.3 versus 3.0 degrees) and in more disturbance-prone settings; the share of forest mapped as LSOG rises from 12% on the gentlest terrain to 37% on the steepest, and from 17% to 35% across the disturbance gradient. Much of what the map flags therefore persists where harvesting is costly or impractical and where natural disturbance, not the saw, drives change. That cuts two ways: a single flat rate of loss overstates the near-term harvest risk to the inaccessible majority, while the most exposed, disturbance-prone stands may not persist as LSOG regardless of protection, so targeting and pricing should reflect that the resource is not uniformly at risk.</w:t>
      </w:r>
    </w:p>
    <w:p>
      <w:pPr>
        <w:spacing w:after="74" w:line="252"/>
        <w:jc w:val="both"/>
      </w:pPr>
      <w:r>
        <w:rPr>
          <w:sz w:val="22"/>
          <w:szCs w:val="22"/>
        </w:rPr>
        <w:t xml:space="preserve">It helps to see the estimates side by side (Table 8). For the same forest, the amount called LSOG ranges from about 4% under a strict old-growth definition to roughly 22% under the broad canopy class, a fivefold span that is the practical face of the multidimensionality argument. The design-based figures carry sampling intervals; the broad canopy figures do not; and the four-axis true-LSOG estimate, 6.5%, falls where the criteria converge. The honest reporting unit is this range with its definitions attached, not a single headline number. The choice is not academic for carbon: in Maine, mean live-tree carbon rises from about 39 Mg per hectare in non-LSOG stands to 72, 91, and 139 across the transitioning, late-successional, and old-growth classes, so where the LSOG line is drawn moves the carbon attributed to it several fold.</w:t>
      </w:r>
    </w:p>
    <w:p>
      <w:pPr>
        <w:keepNext/>
        <w:spacing w:after="48" w:before="110"/>
      </w:pPr>
      <w:r>
        <w:rPr>
          <w:i/>
          <w:iCs/>
          <w:color w:val="555555"/>
          <w:sz w:val="18"/>
          <w:szCs w:val="18"/>
        </w:rPr>
        <w:t xml:space="preserve">Table 8. How much LSOG is in Maine? Estimates for the same forest under different methods and definitions. Design-based (FIA) rows carry 95% confidence intervals; remote-sensing class areas do not. The right number depends on the objective and definition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40"/>
        <w:gridCol w:w="2400"/>
        <w:gridCol w:w="3120"/>
      </w:tblGrid>
      <w:tr>
        <w:trPr>
          <w:cantSplit/>
        </w:trPr>
        <w:tc>
          <w:tcPr>
            <w:tcW w:type="dxa" w:w="384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 or definition</w:t>
            </w:r>
          </w:p>
        </w:tc>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LSOG (% of forest)</w:t>
            </w:r>
          </w:p>
        </w:tc>
        <w:tc>
          <w:tcPr>
            <w:tcW w:type="dxa" w:w="312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What it captures</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any-LSOG (incl. transitioning)</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19.7 reported; 21.9 reproduced</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tall, big-tree canopy; broad screening class</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Canopy-height model (v5.1-GEDI)</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height and cover proxy</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structural imputation</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imputed FIA structural class (30 m)</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FIA large-tree basal area &gt;= 30 ft-sq/ac</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big-tree structure (design-based)</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Reproduced LS + OGL (strict canopy classes)</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about 4</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late-successional + old-growth canopy</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FIA stand age &gt;= 120 yr (strict old)</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modeled stand age (design-based)</w:t>
            </w:r>
          </w:p>
        </w:tc>
      </w:tr>
      <w:tr>
        <w:trPr>
          <w:cantSplit/>
        </w:trPr>
        <w:tc>
          <w:tcPr>
            <w:tcW w:type="dxa" w:w="384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True LSOG, four-axis classification</w:t>
            </w:r>
          </w:p>
        </w:tc>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6.5 [5.6, 7.4]</w:t>
            </w:r>
          </w:p>
        </w:tc>
        <w:tc>
          <w:tcPr>
            <w:tcW w:type="dxa" w:w="31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structure + dead wood + composition + continuity</w:t>
            </w:r>
          </w:p>
        </w:tc>
      </w:tr>
    </w:tbl>
    <w:p>
      <w:pPr>
        <w:pStyle w:val="Heading1"/>
        <w:keepNext/>
      </w:pPr>
      <w:r>
        <w:t xml:space="preserve">10.  Recommendations for future research</w:t>
      </w:r>
    </w:p>
    <w:p>
      <w:pPr>
        <w:spacing w:after="74" w:line="252"/>
        <w:jc w:val="both"/>
      </w:pPr>
      <w:r>
        <w:rPr>
          <w:sz w:val="22"/>
          <w:szCs w:val="22"/>
        </w:rPr>
        <w:t xml:space="preserve">Several concrete steps would put LSOG mapping in Maine on firmer footing for the decisions now riding on it. First, conduct a formal accuracy assessment of the airborne map against an independent probability sample, reporting a full confusion matrix and class-wise user and producer accuracy by owner group rather than out-of-bag accuracy alone; the FIA plot network is a ready reference. Second, add structural predictors that capture the attributes canopy metrics miss, in particular dead wood and canopy gaps (canopy-gap density, large downed-log density, and multi-return or full-waveform metrics), to separate late-successional from true old-growth forest, as the original authors propose. Third, estimate ingrowth directly, through repeat LiDAR or a NAIP and GEDI time series paired with FIA growth-removal-mortality estimation, so that loss and gain are reported as a net change rather than a one-sided flux. Fourth, propagate geolocation and co-registration error explicitly, for example with the Bayesian correction of Shannon et al. (2024), before any pixel-level overlay or parcel ranking. Fifth, move from a single map to an ensemble of credible operationalizations, reporting per-pixel agreement and an uncertainty layer so that prioritization is driven by confidence rather than by one classifier; we prototype exactly this in Section 7 and it could be standardized region-wide. Sixth, before acquisition, field-verify a probability sample of the prioritized parcels using the published rapid protocol (Shamgochian et al. 2025) and report the sensitivity of the result to the LSOG definition used. None of these is beyond the reach of the groups already working in this landscape, and several could be done collaboratively. More broadly, LSOG assessment now has several complementary tools, airborne LiDAR, spaceborne GEDI and global canopy-height products, FIA design-based inventory, structural imputation such as TreeMap, and growth-and-yield models that project ingrowth and future condition; no single tool is sufficient, and the constructive path is to combine them, as the ensemble here begins to do, rather than to elevate any one map. Used together they can also represent the forward trajectory that a snapshot cannot, crediting the conservation investments whose LSOG returns arrive decades from now.</w:t>
      </w:r>
    </w:p>
    <w:p>
      <w:pPr>
        <w:pStyle w:val="Heading1"/>
        <w:keepNext/>
      </w:pPr>
      <w:r>
        <w:t xml:space="preserve">Data and code availability</w:t>
      </w:r>
    </w:p>
    <w:p>
      <w:pPr>
        <w:spacing w:after="74" w:line="252"/>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keepNext/>
      </w:pPr>
      <w:r>
        <w:t xml:space="preserve">References</w:t>
      </w:r>
    </w:p>
    <w:p>
      <w:pPr>
        <w:spacing w:after="16" w:line="202"/>
        <w:ind w:left="330" w:hanging="330"/>
      </w:pPr>
      <w:r>
        <w:rPr>
          <w:sz w:val="18"/>
          <w:szCs w:val="18"/>
        </w:rPr>
        <w:t xml:space="preserve">Barnett, K., G. H. Aplet, and R. T. Belote. 2023. Classifying, inventorying, and mapping mature and old-growth forests in the United States. Frontiers in Forests and Global Change 5:1070372. https://doi.org/10.3389/ffgc.2022.1070372</w:t>
      </w:r>
    </w:p>
    <w:p>
      <w:pPr>
        <w:spacing w:after="16" w:line="202"/>
        <w:ind w:left="330" w:hanging="330"/>
      </w:pPr>
      <w:r>
        <w:rPr>
          <w:sz w:val="18"/>
          <w:szCs w:val="18"/>
        </w:rPr>
        <w:t xml:space="preserve">Box, G. E. P. 1976. Science and statistics. Journal of the American Statistical Association 71:791-799.</w:t>
      </w:r>
    </w:p>
    <w:p>
      <w:pPr>
        <w:spacing w:after="16" w:line="202"/>
        <w:ind w:left="330" w:hanging="330"/>
      </w:pPr>
      <w:r>
        <w:rPr>
          <w:sz w:val="18"/>
          <w:szCs w:val="18"/>
        </w:rPr>
        <w:t xml:space="preserve">de Conto, T., J. Armston, and R. Dubayah. 2024. Characterizing the structural complexity of the Earth's forests with spaceborne lidar. Nature Communications 15:8116. https://doi.org/10.1038/s41467-024-52468-2</w:t>
      </w:r>
    </w:p>
    <w:p>
      <w:pPr>
        <w:spacing w:after="16" w:line="202"/>
        <w:ind w:left="330" w:hanging="330"/>
      </w:pPr>
      <w:r>
        <w:rPr>
          <w:sz w:val="18"/>
          <w:szCs w:val="18"/>
        </w:rPr>
        <w:t xml:space="preserve">Franklin, J. F., and R. Van Pelt. 2004. Spatial aspects of structural complexity in old-growth forests. Journal of Forestry 102(3):22-28.</w:t>
      </w:r>
    </w:p>
    <w:p>
      <w:pPr>
        <w:spacing w:after="16" w:line="202"/>
        <w:ind w:left="330" w:hanging="330"/>
      </w:pPr>
      <w:r>
        <w:rPr>
          <w:sz w:val="18"/>
          <w:szCs w:val="18"/>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16" w:line="202"/>
        <w:ind w:left="330" w:hanging="330"/>
      </w:pPr>
      <w:r>
        <w:rPr>
          <w:sz w:val="18"/>
          <w:szCs w:val="18"/>
        </w:rPr>
        <w:t xml:space="preserve">Hagan, J. M., B. Shamgochian, M. M. L. Taylor, and J. M. Reed. 2026. Using LiDAR to quantify, map, and conserve late-successional and old-growth forest in Maine, USA. Ecosphere 17:e70670.</w:t>
      </w:r>
    </w:p>
    <w:p>
      <w:pPr>
        <w:spacing w:after="16" w:line="202"/>
        <w:ind w:left="330" w:hanging="330"/>
      </w:pPr>
      <w:r>
        <w:rPr>
          <w:sz w:val="18"/>
          <w:szCs w:val="18"/>
        </w:rPr>
        <w:t xml:space="preserve">Lang, N., W. Jetz, K. Schindler, and J. D. Wegner. 2023. A high-resolution canopy height model of the Earth. Nature Ecology &amp; Evolution 7:1778-1789. https://doi.org/10.1038/s41559-023-02206-6</w:t>
      </w:r>
    </w:p>
    <w:p>
      <w:pPr>
        <w:spacing w:after="16" w:line="202"/>
        <w:ind w:left="330" w:hanging="330"/>
      </w:pPr>
      <w:r>
        <w:rPr>
          <w:sz w:val="18"/>
          <w:szCs w:val="18"/>
        </w:rPr>
        <w:t xml:space="preserve">Moudry, V., et al. 2024. Comparison of three global canopy height maps and their applicability to biodiversity modeling: accuracy issues revealed. Ecosphere 15:e70026.</w:t>
      </w:r>
    </w:p>
    <w:p>
      <w:pPr>
        <w:spacing w:after="16" w:line="202"/>
        <w:ind w:left="330" w:hanging="330"/>
      </w:pPr>
      <w:r>
        <w:rPr>
          <w:sz w:val="18"/>
          <w:szCs w:val="18"/>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16" w:line="202"/>
        <w:ind w:left="330" w:hanging="330"/>
      </w:pPr>
      <w:r>
        <w:rPr>
          <w:sz w:val="18"/>
          <w:szCs w:val="18"/>
        </w:rPr>
        <w:t xml:space="preserve">Potapov, P., et al. 2021. Mapping global forest canopy height through the fusion of GEDI and Landsat data. Remote Sensing of Environment 253:112165.</w:t>
      </w:r>
    </w:p>
    <w:p>
      <w:pPr>
        <w:spacing w:after="16" w:line="202"/>
        <w:ind w:left="330" w:hanging="330"/>
      </w:pPr>
      <w:r>
        <w:rPr>
          <w:sz w:val="18"/>
          <w:szCs w:val="18"/>
        </w:rPr>
        <w:t xml:space="preserve">Shamgochian, B., J. Hagan, M. Taylor, and M. Reed. 2025. LSOG Rapid Assessment Protocol (RAP) for Maine (v1.0). Our Climate Common Report, Georgetown, Maine.</w:t>
      </w:r>
    </w:p>
    <w:p>
      <w:pPr>
        <w:spacing w:after="16" w:line="202"/>
        <w:ind w:left="330" w:hanging="330"/>
      </w:pPr>
      <w:r>
        <w:rPr>
          <w:sz w:val="18"/>
          <w:szCs w:val="18"/>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 https://doi.org/10.1002/env.2840</w:t>
      </w:r>
    </w:p>
    <w:p>
      <w:pPr>
        <w:spacing w:after="16" w:line="202"/>
        <w:ind w:left="330" w:hanging="330"/>
      </w:pPr>
      <w:r>
        <w:rPr>
          <w:sz w:val="18"/>
          <w:szCs w:val="18"/>
        </w:rPr>
        <w:t xml:space="preserve">Spies, T. A. 2004. Ecological concepts and diversity of old-growth forests. Journal of Forestry 102(3):14-20.</w:t>
      </w:r>
    </w:p>
    <w:p>
      <w:pPr>
        <w:spacing w:after="16" w:line="202"/>
        <w:ind w:left="330" w:hanging="330"/>
      </w:pPr>
      <w:r>
        <w:rPr>
          <w:sz w:val="18"/>
          <w:szCs w:val="18"/>
        </w:rPr>
        <w:t xml:space="preserve">Spracklen, B., and D. V. Spracklen. 2021. Determination of structural characteristics of old-growth forest in Ukraine using spaceborne LiDAR. Remote Sensing 13(7):1233. https://doi.org/10.3390/rs13071233</w:t>
      </w:r>
    </w:p>
    <w:p>
      <w:pPr>
        <w:spacing w:after="16" w:line="202"/>
        <w:ind w:left="330" w:hanging="330"/>
      </w:pPr>
      <w:r>
        <w:rPr>
          <w:sz w:val="18"/>
          <w:szCs w:val="18"/>
        </w:rPr>
        <w:t xml:space="preserve">Stanke, H., A. O. Finley, A. S. Weed, B. F. Walters, and G. M. Domke. 2020. rFIA: an R package for estimation of forest attributes with the FIA database. Environmental Modelling &amp; Software 127:104664.</w:t>
      </w:r>
    </w:p>
    <w:p>
      <w:pPr>
        <w:spacing w:after="16" w:line="202"/>
        <w:ind w:left="330" w:hanging="330"/>
      </w:pPr>
      <w:r>
        <w:rPr>
          <w:sz w:val="18"/>
          <w:szCs w:val="18"/>
        </w:rPr>
        <w:t xml:space="preserve">Thompson, J. R., A. Daigneault, J. Plisinski, I. Moon, and J. Norton. 2026. Pathways for protecting Maine's remaining late-successional and old-growth forests. Property and Environment Research Center.</w:t>
      </w:r>
    </w:p>
    <w:p>
      <w:pPr>
        <w:spacing w:after="16" w:line="202"/>
        <w:ind w:left="330" w:hanging="330"/>
      </w:pPr>
      <w:r>
        <w:rPr>
          <w:sz w:val="18"/>
          <w:szCs w:val="18"/>
        </w:rPr>
        <w:t xml:space="preserve">Wirth, C., G. Gleixner, and M. Heimann, editors. 2009. Old-Growth Forests: Function, Fate and Value. Ecological Studies 207. Springer, Berlin.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Comment on Hagan et al. (2026),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42" w:before="9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7fdce960ead4b4f94bebd4b966ef8c9ae5b5e9.png"/><Relationship Id="rId9" Type="http://schemas.openxmlformats.org/officeDocument/2006/relationships/image" Target="media/7d09fa625605c89bba70771a458fad2ae44faea6.png"/><Relationship Id="rId10" Type="http://schemas.openxmlformats.org/officeDocument/2006/relationships/image" Target="media/b9c72d78270b0db929ba30b2c65a1ae8c2d892d4.png"/><Relationship Id="rId11" Type="http://schemas.openxmlformats.org/officeDocument/2006/relationships/image" Target="media/1053b88fd3d315b62f220bc0dcb6d62491098ac4.png"/><Relationship Id="rId12" Type="http://schemas.openxmlformats.org/officeDocument/2006/relationships/image" Target="media/0322ace7fd331ee5b4f2a14833d9dda2a443552d.png"/><Relationship Id="rId13" Type="http://schemas.openxmlformats.org/officeDocument/2006/relationships/image" Target="media/87d552fefd7322d6e179521bab0577e781439de1.png"/><Relationship Id="rId14" Type="http://schemas.openxmlformats.org/officeDocument/2006/relationships/image" Target="media/da083765b469a8b7ad8fb3cfe33940a62c3b9b14.png"/><Relationship Id="rId15" Type="http://schemas.openxmlformats.org/officeDocument/2006/relationships/image" Target="media/33d3005beb1c66f145bda0dd27aa9700b26ab6e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2026-06-11T14:00:42.987Z</dcterms:created>
  <dcterms:modified xsi:type="dcterms:W3CDTF">2026-06-11T14:00:42.988Z</dcterms:modified>
</cp:coreProperties>
</file>

<file path=docProps/custom.xml><?xml version="1.0" encoding="utf-8"?>
<Properties xmlns="http://schemas.openxmlformats.org/officeDocument/2006/custom-properties" xmlns:vt="http://schemas.openxmlformats.org/officeDocument/2006/docPropsVTypes"/>
</file>