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built from a suite of FIA structural indicators, and places about 45% of federal forest in the mature class and 18% in old growth (Woodall et al. 2023; USDA Forest Service and USDI Bureau of Land Management 2023), an estimate sensitive to the structural thresholds chosen.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Large-tree basal area and the density of large trees, our live-structure axis (A1), are among the most consistent structural signatures of moist temperate old growth worldwide (Burrascano et al. 2013).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4"/>
          <w:szCs w:val="24"/>
        </w:rPr>
        <w:t xml:space="preserve">3.11 A 10-meter product that generalizes across the Northeast</w:t>
      </w:r>
    </w:p>
    <w:p>
      <w:pPr>
        <w:spacing w:after="0" w:before="0" w:line="480"/>
      </w:pPr>
      <w:r>
        <w:rPr>
          <w:sz w:val="24"/>
          <w:szCs w:val="24"/>
        </w:rPr>
        <w:t xml:space="preserve">To test whether the fused, FIA-anchored surface generalizes beyond Maine, we applied the same model wall-to-wall at its native 10 m resolution to New Hampshire, Vermont, and New York, and, as a cross-border demonstration in the contiguous Acadian forest, to New Brunswick, Canada (Fig. 8). The product resolves region-wide the same fine-grained structure that a 1 ha grid averages away, and the mapped probability tracks each jurisdiction's forest history, higher through the mountainous, less-worked terrain and lower across intensively managed ground. As over Maine, any binary class drawn from these surfaces is calibrated to the design-based FIA estimate for the corresponding area rather than read directly off the map, so the regional product answers where late-successional and old-growth forest most likely sits while the probability sample remains the backbone for how much exists. The 10 m surfaces for all four jurisdictions are openly archived.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A direct test agrees: in cross-validation on the true-coordinate plots, adding a disturbance layer to the fused satellite embeddings, whether the United States LCMS record or the global Hansen forest-loss product, changes discrimination only marginally (area-under-curve 0.860 without a disturbance layer and 0.862 to 0.863 with), so the temporal-continuity axis mainly defines the condition and records management history rather than improving the discrimination of location.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Burrascano, S., W.S. Keeton, F.M. Sabatini &amp; C. Blasi. 2013. Commonality and variability in the structural attributes of moist temperate old-growth forests: a global review. Forest Ecology and Management 291:458–479. https://doi.org/10.1016/j.foreco.2012.11.020</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pPr>
        <w:spacing w:after="0" w:before="0" w:line="480"/>
      </w:pPr>
      <w:r>
        <w:rPr>
          <w:b/>
          <w:bCs/>
          <w:sz w:val="24"/>
          <w:szCs w:val="24"/>
        </w:rPr>
        <w:t xml:space="preserve">Fig. 8.</w:t>
      </w:r>
      <w:r>
        <w:rPr>
          <w:sz w:val="24"/>
          <w:szCs w:val="24"/>
        </w:rPr>
        <w:t xml:space="preserve"> The fused, FIA-anchored 10 m LSOG probability product applied across the Northeast beyond Maine: (a) New Hampshire, (b) Vermont, (c) New York, and (d) New Brunswick, Canada, a cross-border case in the contiguous Acadian forest. Each panel is the ensemble probability of late-successional and old-growth forest at 10 m on a common 0 to 1 scale; warmer colors indicate higher probability. At 10 m the product resolves sub-hectare structure that a 1 ha grid cannot, while the design-based inventory remains the reference for area.</w:t>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5848350" cy="35337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5337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4133850"/>
                    </a:xfrm>
                    <a:prstGeom prst="rect">
                      <a:avLst/>
                    </a:prstGeom>
                  </pic:spPr>
                </pic:pic>
              </a:graphicData>
            </a:graphic>
          </wp:inline>
        </w:drawing>
      </w:r>
    </w:p>
    <w:p>
      <w:r>
        <w:br w:type="page"/>
      </w:r>
    </w:p>
    <w:p>
      <w:pPr>
        <w:spacing w:after="60"/>
      </w:pPr>
      <w:r>
        <w:rPr>
          <w:b/>
          <w:bCs/>
          <w:sz w:val="22"/>
          <w:szCs w:val="22"/>
        </w:rPr>
        <w:t xml:space="preserve">Figure 8</w:t>
      </w:r>
    </w:p>
    <w:p>
      <w:pPr>
        <w:jc w:val="center"/>
      </w:pPr>
      <w:r>
        <w:drawing>
          <wp:inline distT="0" distB="0" distL="0" distR="0">
            <wp:extent cx="5943600" cy="5029200"/>
            <wp:effectExtent t="0" r="0" b="0" l="0"/>
            <wp:docPr id="1" name="msFig_regional10m.png" descr="msFig_regional10m.png" title="msFig_regional10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02920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c8d3d242b23f6af044670903e04489bc7237e75.png"/><Relationship Id="rId9" Type="http://schemas.openxmlformats.org/officeDocument/2006/relationships/image" Target="media/6b3f560436616bdb4b91d4cce613a7b376a1ddc4.png"/><Relationship Id="rId10" Type="http://schemas.openxmlformats.org/officeDocument/2006/relationships/image" Target="media/e932908b66706b584bd27028112a30e082623079.png"/><Relationship Id="rId11" Type="http://schemas.openxmlformats.org/officeDocument/2006/relationships/image" Target="media/d19aef5b256dd1f722470f9f1ecfb168cab2be31.png"/><Relationship Id="rId12" Type="http://schemas.openxmlformats.org/officeDocument/2006/relationships/image" Target="media/23afa44ec1d4805b8cb5b5d0778898c2fc658e81.png"/><Relationship Id="rId13" Type="http://schemas.openxmlformats.org/officeDocument/2006/relationships/image" Target="media/409dc623c81f6ec1836ce8f17e8c7da7febb81c6.png"/><Relationship Id="rId14" Type="http://schemas.openxmlformats.org/officeDocument/2006/relationships/image" Target="media/f5f3550b47b3d8483c75548e1951cd4adf68bdef.png"/><Relationship Id="rId15" Type="http://schemas.openxmlformats.org/officeDocument/2006/relationships/image" Target="media/879bc3420769603f39d59e2df4e52691fbaabfd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2026-06-22T19:48:39.662Z</dcterms:created>
  <dcterms:modified xsi:type="dcterms:W3CDTF">2026-06-22T19:48:39.662Z</dcterms:modified>
</cp:coreProperties>
</file>

<file path=docProps/custom.xml><?xml version="1.0" encoding="utf-8"?>
<Properties xmlns="http://schemas.openxmlformats.org/officeDocument/2006/custom-properties" xmlns:vt="http://schemas.openxmlformats.org/officeDocument/2006/docPropsVTypes"/>
</file>