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74" w:line="252"/>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74" w:line="252"/>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74" w:line="252"/>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74" w:line="252"/>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74" w:line="252"/>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unbiased baseline the LiDAR map approximates (unbiased for amount, though imprecise at FIA's plot density),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74" w:line="252"/>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48" w:before="11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74" w:line="252"/>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352800" cy="268605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52800" cy="2686050"/>
                    </a:xfrm>
                    <a:prstGeom prst="rect">
                      <a:avLst/>
                    </a:prstGeom>
                  </pic:spPr>
                </pic:pic>
              </a:graphicData>
            </a:graphic>
          </wp:inline>
        </w:drawing>
      </w:r>
    </w:p>
    <w:p>
      <w:pPr>
        <w:spacing w:after="118" w:before="48"/>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3771900" cy="263842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71900" cy="2638425"/>
                    </a:xfrm>
                    <a:prstGeom prst="rect">
                      <a:avLst/>
                    </a:prstGeom>
                  </pic:spPr>
                </pic:pic>
              </a:graphicData>
            </a:graphic>
          </wp:inline>
        </w:drawing>
      </w:r>
    </w:p>
    <w:p>
      <w:pPr>
        <w:spacing w:after="118" w:before="48"/>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74" w:line="252"/>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keepNext/>
        <w:spacing w:after="48" w:before="11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219450" cy="4257675"/>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4257675"/>
                    </a:xfrm>
                    <a:prstGeom prst="rect">
                      <a:avLst/>
                    </a:prstGeom>
                  </pic:spPr>
                </pic:pic>
              </a:graphicData>
            </a:graphic>
          </wp:inline>
        </w:drawing>
      </w:r>
    </w:p>
    <w:p>
      <w:pPr>
        <w:spacing w:after="118" w:before="48"/>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spacing w:after="74" w:line="252"/>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74" w:line="252"/>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spacing w:after="74" w:line="252"/>
        <w:jc w:val="both"/>
      </w:pPr>
      <w:r>
        <w:rPr>
          <w:sz w:val="22"/>
          <w:szCs w:val="22"/>
        </w:rPr>
        <w:t xml:space="preserve">An independently authored product points the same way. The U.S. Forest Service national old-growth inventory (Pelz et al. 2023), built under region-specific structural definitions, can be compared against the field-structure classification used here on the FIA plots where both apply, the National Forest System plots in the region (n about 925, concentrated in New Hampshire and Vermont because Maine holds little federal forest). The two agree only weakly: Cohen's kappa is 0.25 for the late-successional-plus-old-growth class and 0.12 for any-LSOG (Appendix S1: Table S9). Because Pelz et al. is a third-party operationalization rather than one of our reproductions, this addresses the obvious objection that maps disagree only when compared with their own variants; credible, independently authored definitions of old forest disagree at the plot level too. The sample is small and federal, so we read it as corroboration rather than a primary result.</w:t>
      </w:r>
    </w:p>
    <w:p>
      <w:pPr>
        <w:pStyle w:val="Heading1"/>
        <w:keepNext/>
      </w:pPr>
      <w:r>
        <w:t xml:space="preserve">4.  What old growth is, and what a canopy sensor can see</w:t>
      </w:r>
    </w:p>
    <w:p>
      <w:pPr>
        <w:spacing w:after="74" w:line="252"/>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48" w:before="11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74" w:line="252"/>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3619500" cy="297180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71800"/>
                    </a:xfrm>
                    <a:prstGeom prst="rect">
                      <a:avLst/>
                    </a:prstGeom>
                  </pic:spPr>
                </pic:pic>
              </a:graphicData>
            </a:graphic>
          </wp:inline>
        </w:drawing>
      </w:r>
    </w:p>
    <w:p>
      <w:pPr>
        <w:spacing w:after="118" w:before="48"/>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74" w:line="252"/>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FIA is unbiased for area but, at its plot density, imprecise; its sparse sample cannot by itself locate or rule out the rare, small LSOG patches a wall-to-wall map can flag. Inventory and map are therefore complementary, not rival: the inventory bounds how much exists, while a verified map locates candidate patches the sparse plots may miss.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These statewide figures answer how much older forest Maine holds; because the published map covers only the unorganized townships, we also clipped the same design-based estimate to the map's exact area-of-interest polygon, and within that footprint older forest is increasing rather than declining: stand age &gt;= 120 yr rises from 3.1 to 4.0% and large-tree basal area from 9.1 to 9.7% over 2003-2024, every slope positive with confidence intervals excluding zero (Appendix S1: Table S10). The county-based northern timberland units that approximate the study area give a consistent 4.2% [3.3, 5.1] for stand age &gt;= 120 yr. The trend is therefore not a statewide average masking a loss inside the working-forest townships; the two move the same way.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unbiased ground baseline places it in a range of roughly 3.3 to 4.6%, and that uncertainty, partly a matter of FIA's sampling intensity, is exactly what a $200-300 million prioritization should carry.</w:t>
      </w:r>
    </w:p>
    <w:p>
      <w:pPr>
        <w:spacing w:after="74" w:line="252"/>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74" w:line="252"/>
        <w:jc w:val="both"/>
      </w:pPr>
      <w:r>
        <w:rPr>
          <w:sz w:val="22"/>
          <w:szCs w:val="22"/>
        </w:rPr>
        <w:t xml:space="preserve">Finally, the original analysis does not benchmark its map against any independent product; although it references GEDI-based structural work (de Conto et al. 2024), the spaceborne canopy-height products covering the area (Potapov et al. 2021; Lang et al. 2023) are neither cited nor used as a cross-check. These are global and free but coarser and noisier than airborne LiDAR, with documented accuracy limits (Moudry et al. 2024); we use the canopy-height product only as one operationalization to demonstrate disagreement (Section 3), never as a reference. The unbiased baseline throughout is the design-based FIA estimate, with the cross-map comparison establishing that credible alternatives disagree.</w:t>
      </w:r>
    </w:p>
    <w:p>
      <w:pPr>
        <w:keepNext/>
        <w:spacing w:after="48" w:before="11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514600" cy="406717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14600" cy="4067175"/>
                    </a:xfrm>
                    <a:prstGeom prst="rect">
                      <a:avLst/>
                    </a:prstGeom>
                  </pic:spPr>
                </pic:pic>
              </a:graphicData>
            </a:graphic>
          </wp:inline>
        </w:drawing>
      </w:r>
    </w:p>
    <w:p>
      <w:pPr>
        <w:spacing w:after="118" w:before="48"/>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74" w:line="252"/>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3924300" cy="2619375"/>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4300" cy="2619375"/>
                    </a:xfrm>
                    <a:prstGeom prst="rect">
                      <a:avLst/>
                    </a:prstGeom>
                  </pic:spPr>
                </pic:pic>
              </a:graphicData>
            </a:graphic>
          </wp:inline>
        </w:drawing>
      </w:r>
    </w:p>
    <w:p>
      <w:pPr>
        <w:spacing w:after="118" w:before="48"/>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48" w:before="11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74" w:line="252"/>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48" w:before="11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74" w:line="252"/>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74" w:line="252"/>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514600" cy="3429000"/>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14600" cy="3429000"/>
                    </a:xfrm>
                    <a:prstGeom prst="rect">
                      <a:avLst/>
                    </a:prstGeom>
                  </pic:spPr>
                </pic:pic>
              </a:graphicData>
            </a:graphic>
          </wp:inline>
        </w:drawing>
      </w:r>
    </w:p>
    <w:p>
      <w:pPr>
        <w:spacing w:after="118" w:before="48"/>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74" w:line="252"/>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2762250" cy="3019425"/>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3019425"/>
                    </a:xfrm>
                    <a:prstGeom prst="rect">
                      <a:avLst/>
                    </a:prstGeom>
                  </pic:spPr>
                </pic:pic>
              </a:graphicData>
            </a:graphic>
          </wp:inline>
        </w:drawing>
      </w:r>
    </w:p>
    <w:p>
      <w:pPr>
        <w:spacing w:after="118" w:before="48"/>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74" w:line="252"/>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which we demonstrate here: intersecting the mapped LSOG with the Hansen Global Forest Change record (2001-2023), 24% of canopy-mapped LSOG has already experienced Landsat-detected stand-replacing disturbance, failing strict continuity even over this short window, while 76% is intact over the record (Supporting Information, Fig. S6); legacy harvest and skid trails predating 2001 and partial harvests are not captured, so this is a lenient test and the longer LCMS record (1985-) would tighten it.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48" w:before="11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74" w:line="252"/>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74" w:line="252"/>
        <w:jc w:val="both"/>
      </w:pPr>
      <w:r>
        <w:rPr>
          <w:sz w:val="22"/>
          <w:szCs w:val="22"/>
        </w:rPr>
        <w:t xml:space="preserve">Where LSOG sits on the landscape is itself informative about risk. We overlaid the mapped LSOG with a CONUS harvest-probability model (HCS: modeled annual probability of clearcut plus partial harvest) and the satellite disturbance record, using the airborne Hagan map as the LSOG layer so the comparison is independent of the TreeMap-derived products (Supporting Information, Fig. S5; n = 3.8 million pixels). Contrary to a simple accessibility intuition, mapped LSOG falls disproportionately on high-harvest-probability ground: the share of forest mapped as LSOG rises from 13% in the lowest harvest-probability tercile to 34% in the highest, and from 17% to 35% across the disturbance gradient, and mapped-LSOG pixels carry a higher mean annual harvest probability than non-LSOG (0.024 versus 0.021) and a higher disturbance probability (0.128 versus 0.111). The likely mechanism is that the structural attributes that make a stand read as LSOG, large trees and high stocking, are the same ones that make it merchantable, so the harvest model and the LSOG classifier key on overlapping structure. The practical implication runs against an accessibility-based reassurance: the mapped resource is not shielded by low harvest pressure, and if anything it sits where modeled harvest pressure is greatest. That sharpens rather than softens the conservation concern, and it reinforces the central point of this Comment: because credible maps disagree on which hectares are LSOG, and those hectares are squarely in the harvestable pool, prioritization should rest on cross-map agreement and field verification rather than on any single classifier.</w:t>
      </w:r>
    </w:p>
    <w:p>
      <w:pPr>
        <w:spacing w:after="74" w:line="252"/>
        <w:jc w:val="both"/>
      </w:pPr>
      <w:r>
        <w:rPr>
          <w:sz w:val="22"/>
          <w:szCs w:val="22"/>
        </w:rPr>
        <w:t xml:space="preserve">It helps to see the estimates side by side (Table 8). For the same forest, the amount called LSOG ranges from about 4% under a strict old-growth definition to roughly 22% under the broad canopy class, a fivefold span that is the practical face of the multidimensionality argument. The design-based figures carry sampling intervals; the broad canopy figures do not; and the four-axis true-LSOG estimate, 6.5%, falls where the criteria converge. The honest reporting unit is this range with its definitions attached, not a single headline number. The choice is not academic for carbon: in Maine, mean live-tree carbon rises from about 39 Mg per hectare in non-LSOG stands to 72, 91, and 139 across the transitioning, late-successional, and old-growth classes, so where the LSOG line is drawn moves the carbon attributed to it several fold.</w:t>
      </w:r>
    </w:p>
    <w:p>
      <w:pPr>
        <w:keepNext/>
        <w:spacing w:after="48" w:before="110"/>
      </w:pPr>
      <w:r>
        <w:rPr>
          <w:i/>
          <w:iCs/>
          <w:color w:val="555555"/>
          <w:sz w:val="18"/>
          <w:szCs w:val="18"/>
        </w:rPr>
        <w:t xml:space="preserve">Table 8. How much LSOG is in Maine? Estimates for the same forest under different methods and definitions. Design-based (FIA) rows carry 95% confidence intervals; remote-sensing class areas do not. The right number depends on the objective and definition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2400"/>
        <w:gridCol w:w="3120"/>
      </w:tblGrid>
      <w:tr>
        <w:trPr>
          <w:cantSplit/>
        </w:trPr>
        <w:tc>
          <w:tcPr>
            <w:tcW w:type="dxa" w:w="384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 or definition</w:t>
            </w:r>
          </w:p>
        </w:tc>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LSOG (% of forest)</w:t>
            </w:r>
          </w:p>
        </w:tc>
        <w:tc>
          <w:tcPr>
            <w:tcW w:type="dxa" w:w="31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What it captures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any-LSOG (incl. transitioning)</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19.7 reported; 21.9 reproduced</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tall, big-tree canopy; broad screening class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Canopy-height model (v5.1-GEDI)</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height and cover proxy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structural imputation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imputed FIA structural class (30 m)</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large-tree basal area &gt;= 30 ft-sq/ac</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big-tree structure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Reproduced LS + OGL (strict canopy classes)</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about 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late-successional + old-growth canopy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stand age &gt;= 120 yr (strict old)</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modeled stand age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True LSOG, four-axis classification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6.5 [5.6, 7.4]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structure + dead wood + composition + continuity</w:t>
            </w:r>
          </w:p>
        </w:tc>
      </w:tr>
    </w:tbl>
    <w:p>
      <w:pPr>
        <w:pStyle w:val="Heading1"/>
        <w:keepNext/>
      </w:pPr>
      <w:r>
        <w:t xml:space="preserve">10.  Recommendations for future research</w:t>
      </w:r>
    </w:p>
    <w:p>
      <w:pPr>
        <w:spacing w:after="74" w:line="252"/>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the no-regrets logic of systematic conservation planning in which the defensible parcels are those prioritized across all network designs (Schloss et al. 2024);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74" w:line="252"/>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6" w:line="202"/>
        <w:ind w:left="330" w:hanging="330"/>
      </w:pPr>
      <w:r>
        <w:rPr>
          <w:sz w:val="18"/>
          <w:szCs w:val="18"/>
        </w:rPr>
        <w:t xml:space="preserve">Barnett, K., G. H. Aplet, and R. T. Belote. 2023. Classifying, inventorying, and mapping mature and old-growth forests in the United States. Frontiers in Forests and Global Change 5:1070372. https://doi.org/10.3389/ffgc.2022.1070372</w:t>
      </w:r>
    </w:p>
    <w:p>
      <w:pPr>
        <w:spacing w:after="16" w:line="202"/>
        <w:ind w:left="330" w:hanging="330"/>
      </w:pPr>
      <w:r>
        <w:rPr>
          <w:sz w:val="18"/>
          <w:szCs w:val="18"/>
        </w:rPr>
        <w:t xml:space="preserve">Box, G. E. P. 1976. Science and statistics. Journal of the American Statistical Association 71:791-799.</w:t>
      </w:r>
    </w:p>
    <w:p>
      <w:pPr>
        <w:spacing w:after="16" w:line="202"/>
        <w:ind w:left="330" w:hanging="330"/>
      </w:pPr>
      <w:r>
        <w:rPr>
          <w:sz w:val="18"/>
          <w:szCs w:val="18"/>
        </w:rPr>
        <w:t xml:space="preserve">de Conto, T., J. Armston, and R. Dubayah. 2024. Characterizing the structural complexity of the Earth's forests with spaceborne lidar. Nature Communications 15:8116. https://doi.org/10.1038/s41467-024-52468-2</w:t>
      </w:r>
    </w:p>
    <w:p>
      <w:pPr>
        <w:spacing w:after="16" w:line="202"/>
        <w:ind w:left="330" w:hanging="330"/>
      </w:pPr>
      <w:r>
        <w:rPr>
          <w:sz w:val="18"/>
          <w:szCs w:val="18"/>
        </w:rPr>
        <w:t xml:space="preserve">Franklin, J. F., and R. Van Pelt. 2004. Spatial aspects of structural complexity in old-growth forests. Journal of Forestry 102(3):22-28.</w:t>
      </w:r>
    </w:p>
    <w:p>
      <w:pPr>
        <w:spacing w:after="16" w:line="202"/>
        <w:ind w:left="330" w:hanging="330"/>
      </w:pPr>
      <w:r>
        <w:rPr>
          <w:sz w:val="18"/>
          <w:szCs w:val="18"/>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6" w:line="202"/>
        <w:ind w:left="330" w:hanging="330"/>
      </w:pPr>
      <w:r>
        <w:rPr>
          <w:sz w:val="18"/>
          <w:szCs w:val="18"/>
        </w:rPr>
        <w:t xml:space="preserve">Hagan, J. M., B. Shamgochian, M. M. L. Taylor, and J. M. Reed. 2026. Using LiDAR to quantify, map, and conserve late-successional and old-growth forest in Maine, USA. Ecosphere 17:e70670.</w:t>
      </w:r>
    </w:p>
    <w:p>
      <w:pPr>
        <w:spacing w:after="16" w:line="202"/>
        <w:ind w:left="330" w:hanging="330"/>
      </w:pPr>
      <w:r>
        <w:rPr>
          <w:sz w:val="18"/>
          <w:szCs w:val="18"/>
        </w:rPr>
        <w:t xml:space="preserve">Lang, N., W. Jetz, K. Schindler, and J. D. Wegner. 2023. A high-resolution canopy height model of the Earth. Nature Ecology &amp; Evolution 7:1778-1789. https://doi.org/10.1038/s41559-023-02206-6</w:t>
      </w:r>
    </w:p>
    <w:p>
      <w:pPr>
        <w:spacing w:after="16" w:line="202"/>
        <w:ind w:left="330" w:hanging="330"/>
      </w:pPr>
      <w:r>
        <w:rPr>
          <w:sz w:val="18"/>
          <w:szCs w:val="18"/>
        </w:rPr>
        <w:t xml:space="preserve">Moudry, V., et al. 2024. Comparison of three global canopy height maps and their applicability to biodiversity modeling: accuracy issues revealed. Ecosphere 15:e70026.</w:t>
      </w:r>
    </w:p>
    <w:p>
      <w:pPr>
        <w:spacing w:after="16" w:line="202"/>
        <w:ind w:left="330" w:hanging="330"/>
      </w:pPr>
      <w:r>
        <w:rPr>
          <w:sz w:val="18"/>
          <w:szCs w:val="18"/>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6" w:line="202"/>
        <w:ind w:left="330" w:hanging="330"/>
      </w:pPr>
      <w:r>
        <w:rPr>
          <w:sz w:val="18"/>
          <w:szCs w:val="18"/>
        </w:rPr>
        <w:t xml:space="preserve">Potapov, P., et al. 2021. Mapping global forest canopy height through the fusion of GEDI and Landsat data. Remote Sensing of Environment 253:112165.</w:t>
      </w:r>
    </w:p>
    <w:p>
      <w:pPr>
        <w:spacing w:after="16" w:line="202"/>
        <w:ind w:left="330" w:hanging="330"/>
      </w:pPr>
      <w:r>
        <w:rPr>
          <w:sz w:val="18"/>
          <w:szCs w:val="18"/>
        </w:rPr>
        <w:t xml:space="preserve">Schloss, C. A., D. R. Cameron, B. Franklin, S. A. Morrison, and C. Nolte. 2024. An approach to designing efficient implementation of 30x30 terrestrial conservation commitments. Conservation Science and Practice 6:e13232. https://doi.org/10.1111/csp2.13232</w:t>
      </w:r>
    </w:p>
    <w:p>
      <w:pPr>
        <w:spacing w:after="16" w:line="202"/>
        <w:ind w:left="330" w:hanging="330"/>
      </w:pPr>
      <w:r>
        <w:rPr>
          <w:sz w:val="18"/>
          <w:szCs w:val="18"/>
        </w:rPr>
        <w:t xml:space="preserve">Shamgochian, B., J. Hagan, M. Taylor, and M. Reed. 2025. LSOG Rapid Assessment Protocol (RAP) for Maine (v1.0). Our Climate Common Report, Georgetown, Maine.</w:t>
      </w:r>
    </w:p>
    <w:p>
      <w:pPr>
        <w:spacing w:after="16" w:line="202"/>
        <w:ind w:left="330" w:hanging="330"/>
      </w:pPr>
      <w:r>
        <w:rPr>
          <w:sz w:val="18"/>
          <w:szCs w:val="18"/>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6" w:line="202"/>
        <w:ind w:left="330" w:hanging="330"/>
      </w:pPr>
      <w:r>
        <w:rPr>
          <w:sz w:val="18"/>
          <w:szCs w:val="18"/>
        </w:rPr>
        <w:t xml:space="preserve">Spies, T. A. 2004. Ecological concepts and diversity of old-growth forests. Journal of Forestry 102(3):14-20.</w:t>
      </w:r>
    </w:p>
    <w:p>
      <w:pPr>
        <w:spacing w:after="16" w:line="202"/>
        <w:ind w:left="330" w:hanging="330"/>
      </w:pPr>
      <w:r>
        <w:rPr>
          <w:sz w:val="18"/>
          <w:szCs w:val="18"/>
        </w:rPr>
        <w:t xml:space="preserve">Spracklen, B., and D. V. Spracklen. 2021. Determination of structural characteristics of old-growth forest in Ukraine using spaceborne LiDAR. Remote Sensing 13(7):1233. https://doi.org/10.3390/rs13071233</w:t>
      </w:r>
    </w:p>
    <w:p>
      <w:pPr>
        <w:spacing w:after="16" w:line="202"/>
        <w:ind w:left="330" w:hanging="330"/>
      </w:pPr>
      <w:r>
        <w:rPr>
          <w:sz w:val="18"/>
          <w:szCs w:val="18"/>
        </w:rPr>
        <w:t xml:space="preserve">Stanke, H., A. O. Finley, A. S. Weed, B. F. Walters, and G. M. Domke. 2020. rFIA: an R package for estimation of forest attributes with the FIA database. Environmental Modelling &amp; Software 127:104664.</w:t>
      </w:r>
    </w:p>
    <w:p>
      <w:pPr>
        <w:spacing w:after="16" w:line="202"/>
        <w:ind w:left="330" w:hanging="330"/>
      </w:pPr>
      <w:r>
        <w:rPr>
          <w:sz w:val="18"/>
          <w:szCs w:val="18"/>
        </w:rPr>
        <w:t xml:space="preserve">Thompson, J. R., A. Daigneault, J. Plisinski, I. Moon, and J. Norton. 2026. Pathways for protecting Maine's remaining late-successional and old-growth forests. Property and Environment Research Center.</w:t>
      </w:r>
    </w:p>
    <w:p>
      <w:pPr>
        <w:spacing w:after="16" w:line="202"/>
        <w:ind w:left="330" w:hanging="330"/>
      </w:pPr>
      <w:r>
        <w:rPr>
          <w:sz w:val="18"/>
          <w:szCs w:val="18"/>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2" w:before="9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7d09fa625605c89bba70771a458fad2ae44faea6.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2026-06-12T01:51:47.969Z</dcterms:created>
  <dcterms:modified xsi:type="dcterms:W3CDTF">2026-06-12T01:51:47.970Z</dcterms:modified>
</cp:coreProperties>
</file>

<file path=docProps/custom.xml><?xml version="1.0" encoding="utf-8"?>
<Properties xmlns="http://schemas.openxmlformats.org/officeDocument/2006/custom-properties" xmlns:vt="http://schemas.openxmlformats.org/officeDocument/2006/docPropsVTypes"/>
</file>