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20"/>
      </w:pPr>
      <w:r>
        <w:rPr>
          <w:b/>
          <w:bCs/>
          <w:sz w:val="30"/>
          <w:szCs w:val="30"/>
        </w:rPr>
        <w:t xml:space="preserve">Supporting Information</w:t>
      </w:r>
    </w:p>
    <w:p>
      <w:pPr>
        <w:spacing w:after="60" w:line="300"/>
      </w:pPr>
      <w:r>
        <w:rPr>
          <w:i/>
          <w:iCs/>
          <w:sz w:val="24"/>
          <w:szCs w:val="24"/>
        </w:rPr>
        <w:t xml:space="preserve">It depends how you count: definition, disturbance history, and the distribution of late-successional and old-growth forest across the northeastern United States</w:t>
      </w:r>
    </w:p>
    <w:p>
      <w:pPr>
        <w:spacing w:after="200" w:line="300"/>
      </w:pPr>
      <w:r>
        <w:rPr>
          <w:sz w:val="22"/>
          <w:szCs w:val="22"/>
        </w:rPr>
        <w:t xml:space="preserve">Aaron R. Weiskittel, University of Maine, Center for Research on Sustainable Forests and School of Forest Resources</w:t>
      </w:r>
    </w:p>
    <w:p>
      <w:pPr>
        <w:spacing w:after="0" w:before="0" w:line="480"/>
      </w:pPr>
      <w:r>
        <w:rPr>
          <w:b/>
          <w:bCs/>
          <w:sz w:val="24"/>
          <w:szCs w:val="24"/>
        </w:rPr>
        <w:t xml:space="preserve">Table S1.</w:t>
      </w:r>
      <w:r>
        <w:rPr>
          <w:sz w:val="24"/>
          <w:szCs w:val="24"/>
        </w:rPr>
        <w:t xml:space="preserve"> v5.1 six-dimension structural proxy: dimension definitions and scoring.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Dim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1 point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2 points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Large-tree basal area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FIA trees, DBH ≥ 20 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40 ft²/ac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80 ft²/ac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 maturity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STDAGE (max DBH fallback)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80 yr (or DBH ≥ 24 in)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120 yr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Structural diversity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TPA-weighted SD of DBH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5 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8 in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stocking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live basal area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100 ft²/ac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150 ft²/ac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Deadwood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Standing snag TPA (DBH ≥ 5 in)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75th pct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90th pct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Canopy height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Potapov 2021 RH95, 30 m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18 m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25 m</w:t>
            </w:r>
          </w:p>
        </w:tc>
      </w:tr>
    </w:tbl>
    <w:p>
      <w:pPr>
        <w:spacing w:line="120"/>
      </w:pPr>
      <w:r>
        <w:t xml:space="preserve"/>
      </w:r>
    </w:p>
    <w:p>
      <w:pPr>
        <w:spacing w:after="0" w:before="0" w:line="480"/>
      </w:pPr>
      <w:r>
        <w:rPr>
          <w:b/>
          <w:bCs/>
          <w:sz w:val="24"/>
          <w:szCs w:val="24"/>
        </w:rPr>
        <w:t xml:space="preserve">Table S2.</w:t>
      </w:r>
      <w:r>
        <w:rPr>
          <w:sz w:val="24"/>
          <w:szCs w:val="24"/>
        </w:rPr>
        <w:t xml:space="preserve"> Integrated v5.1 LSOG share by state, 2019–2023 panel (design-based, 95% CI).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n plots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Any-LSOG % [95% CI]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OG-class 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3,125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14.1 [12.9, 15.3]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0.19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York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2,107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27.2 [25.2, 29.0]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Vermont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657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28.8 [25.4, 32.3]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Hampshire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757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31.2 [28.0, 34.3]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</w:tr>
    </w:tbl>
    <w:p>
      <w:pPr>
        <w:spacing w:line="120"/>
      </w:pPr>
      <w:r>
        <w:t xml:space="preserve"/>
      </w:r>
    </w:p>
    <w:p>
      <w:pPr>
        <w:spacing w:after="0" w:before="0" w:line="480"/>
      </w:pPr>
      <w:r>
        <w:rPr>
          <w:b/>
          <w:bCs/>
          <w:sz w:val="24"/>
          <w:szCs w:val="24"/>
        </w:rPr>
        <w:t xml:space="preserve">Table S3.</w:t>
      </w:r>
      <w:r>
        <w:rPr>
          <w:sz w:val="24"/>
          <w:szCs w:val="24"/>
        </w:rPr>
        <w:t xml:space="preserve"> Design-based older forest by axis across the Northeast (2024, % of forestland), showing axes rank states differently.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Stand age ≥ 120 yr % [95% CI]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Large-tree BA ≥ 30 ft²/ac % [95% CI]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3.9 [3.3, 4.6]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12.5 [11.4, 13.7]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Hampshire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1.8 [0.9, 2.6]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37.9 [34.7, 41.0]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Vermont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 [0.4, 1.6]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39.1 [35.8, 42.4]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Massachusetts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[0.4, 2.5]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56.1 [51.6, 60.7]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Connecticut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6.8 [3.8, 9.8]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57.7 [51.6, 63.8]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Rhode Island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 [0.0, 3.1]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47.0 [37.9, 56.1]</w:t>
            </w:r>
          </w:p>
        </w:tc>
      </w:tr>
    </w:tbl>
    <w:p>
      <w:pPr>
        <w:spacing w:line="120"/>
      </w:pPr>
      <w:r>
        <w:t xml:space="preserve"/>
      </w:r>
    </w:p>
    <w:p>
      <w:pPr>
        <w:spacing w:after="0" w:before="0" w:line="480"/>
      </w:pPr>
      <w:r>
        <w:rPr>
          <w:b/>
          <w:bCs/>
          <w:sz w:val="24"/>
          <w:szCs w:val="24"/>
        </w:rPr>
        <w:t xml:space="preserve">Table S4.</w:t>
      </w:r>
      <w:r>
        <w:rPr>
          <w:sz w:val="24"/>
          <w:szCs w:val="24"/>
        </w:rPr>
        <w:t xml:space="preserve"> Dimensionality of LSOG attributes (Maine plots): selected pairwise correlations and PCA variance.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Attribute pair / component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Large-tree BA vs large-tree count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 = 0.98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Large-tree BA vs diameter diversity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 = 0.77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Large-tree BA vs standing dead BA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 = 0.51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Large-tree BA vs coarse woody debris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 = 0.48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Standing dead BA vs coarse woody debris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 = 0.47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PC1 variance explained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58.8%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PC1-PC2 cumulative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72.6%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PC1-PC4 cumulative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90.8%</w:t>
            </w:r>
          </w:p>
        </w:tc>
      </w:tr>
    </w:tbl>
    <w:p>
      <w:pPr>
        <w:spacing w:line="120"/>
      </w:pPr>
      <w:r>
        <w:t xml:space="preserve"/>
      </w:r>
    </w:p>
    <w:p>
      <w:pPr>
        <w:spacing w:after="0" w:before="0" w:line="480"/>
      </w:pPr>
      <w:r>
        <w:rPr>
          <w:b/>
          <w:bCs/>
          <w:sz w:val="24"/>
          <w:szCs w:val="24"/>
        </w:rPr>
        <w:t xml:space="preserve">Table S5.</w:t>
      </w:r>
      <w:r>
        <w:rPr>
          <w:sz w:val="24"/>
          <w:szCs w:val="24"/>
        </w:rPr>
        <w:t xml:space="preserve"> LSOG occurrence rate by harvest-probability and slope tercile.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Tercile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LSOG rate by harvest probability 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LSOG rate by slope 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13.1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11.8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24.1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21.7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33.5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37.3</w:t>
            </w:r>
          </w:p>
        </w:tc>
      </w:tr>
    </w:tbl>
    <w:p>
      <w:pPr>
        <w:spacing w:line="120"/>
      </w:pPr>
      <w:r>
        <w:t xml:space="preserve"/>
      </w:r>
    </w:p>
    <w:p>
      <w:pPr>
        <w:spacing w:after="0" w:before="0" w:line="480"/>
      </w:pPr>
      <w:r>
        <w:rPr>
          <w:b/>
          <w:bCs/>
          <w:sz w:val="24"/>
          <w:szCs w:val="24"/>
        </w:rPr>
        <w:t xml:space="preserve">Table S6.</w:t>
      </w:r>
      <w:r>
        <w:rPr>
          <w:sz w:val="24"/>
          <w:szCs w:val="24"/>
        </w:rPr>
        <w:t xml:space="preserve"> Representation of true LSOG (all four axes, LCMS continuity) across forest-type groups, pooled across the four states (design-based).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Forest-type group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Total forest (K ac)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True LSOG % [95% CI]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True LSOG (K ac)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Maple/beech/birch (northern hardwood)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22,995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11.6 [10.6, 12.7]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2,676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Spruce/fir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7,428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2.1 [1.3, 2.8]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153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Oak/hickory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4,432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6.6 [4.7, 8.6]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294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White/red/jack pine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3,387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21.2 [17.2, 25.3]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720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Aspen/birch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2,527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 [0.0, 1.3]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Elm/ash/cottonwood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1,772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 [0.0, 0.0]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Oak/pine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1,475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16.4 [10.8, 22.0]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242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Other softwood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258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1.8 [0.0, 5.0]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line="120"/>
      </w:pPr>
      <w:r>
        <w:t xml:space="preserve"/>
      </w:r>
    </w:p>
    <w:p>
      <w:pPr>
        <w:spacing w:after="0" w:before="0" w:line="480"/>
      </w:pPr>
      <w:r>
        <w:rPr>
          <w:b/>
          <w:bCs/>
          <w:sz w:val="24"/>
          <w:szCs w:val="24"/>
        </w:rPr>
        <w:t xml:space="preserve">Table S7.</w:t>
      </w:r>
      <w:r>
        <w:rPr>
          <w:sz w:val="24"/>
          <w:szCs w:val="24"/>
        </w:rPr>
        <w:t xml:space="preserve"> Global (variance-based Sobol) sensitivity of the multi-model ensemble LSOG probability to the two predictors, over their empirical ranges. S1 is the first-order index (main effect); ST is the total-order index (main plus interactions). Canopy height dominates; the disturbance axis contributes mainly through interaction. (S1 for canopy height slightly exceeds 1 owing to Monte Carlo estimator noise and is interpreted as approximately unity.)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Predictor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First-order S1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Total-order ST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Canopy height (Potapov/GEDI)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~1.0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 since disturbance (LCMS)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</w:tr>
    </w:tbl>
    <w:p>
      <w:pPr>
        <w:spacing w:line="120"/>
      </w:pPr>
      <w:r>
        <w:t xml:space="preserve"/>
      </w:r>
    </w:p>
    <w:p>
      <w:pPr>
        <w:spacing w:after="0" w:before="0" w:line="480"/>
      </w:pPr>
      <w:r>
        <w:rPr>
          <w:b/>
          <w:bCs/>
          <w:sz w:val="24"/>
          <w:szCs w:val="24"/>
        </w:rPr>
        <w:t xml:space="preserve">Table S8.</w:t>
      </w:r>
      <w:r>
        <w:rPr>
          <w:sz w:val="24"/>
          <w:szCs w:val="24"/>
        </w:rPr>
        <w:t xml:space="preserve"> Mean mapped LSOG probability by learner in the multi-model ensemble (Maine, forested cells). The wide spread is the model-structural uncertainty mapped in Fig. 7b.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Learner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Mean mapped P(LSOG)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Balanced random forest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Probability forest (ranger)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0.26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Weighted logistic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0.59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vector machine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Multi-objective SVR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0.26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Ensemble mean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0.37</w:t>
            </w:r>
          </w:p>
        </w:tc>
      </w:tr>
    </w:tbl>
    <w:p>
      <w:pPr>
        <w:spacing w:line="120"/>
      </w:pPr>
      <w:r>
        <w:t xml:space="preserve"/>
      </w:r>
    </w:p>
    <w:p>
      <w:pPr>
        <w:spacing w:after="0" w:before="0" w:line="480"/>
      </w:pPr>
      <w:r>
        <w:rPr>
          <w:b/>
          <w:bCs/>
          <w:sz w:val="24"/>
          <w:szCs w:val="24"/>
        </w:rPr>
        <w:t xml:space="preserve">Table S9.</w:t>
      </w:r>
      <w:r>
        <w:rPr>
          <w:sz w:val="24"/>
          <w:szCs w:val="24"/>
        </w:rPr>
        <w:t xml:space="preserve"> Rare-class remedies for the reproduced Hagan random forest, with old-growth (OG) as the rare event. Three standard corrections and a voting-threshold adjustment are compared against the default. OG operating accuracy (recall) and the wall-to-wall mapped OG area both move substantially, confirming that the headline area is a modeling choice rather than a fixed quantity. (The OG class rests on only 17 training hectares, so OG-specific accuracies are themselves highly uncertain; plot-level bootstrap intervals are too wide to be informative.)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Strategy (scikit-learn / imblearn analog)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OG recall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Overall acc.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Mapped OG area (%)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Default, unbalanced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 weighting (classwt; class_weight='balanced')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Balanced subsample (sampsize/strata; BalancedRandomForestClassifier)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1.9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Voting-threshold adjustment (OG vote ≥ 0.2)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</w:tr>
    </w:tbl>
    <w:p>
      <w:pPr>
        <w:spacing w:line="120"/>
      </w:pPr>
      <w:r>
        <w:t xml:space="preserve"/>
      </w:r>
    </w:p>
    <w:p>
      <w:pPr>
        <w:spacing w:after="0" w:before="0" w:line="480"/>
      </w:pPr>
      <w:r>
        <w:rPr>
          <w:b/>
          <w:bCs/>
          <w:sz w:val="24"/>
          <w:szCs w:val="24"/>
        </w:rPr>
        <w:t xml:space="preserve">Table S10.</w:t>
      </w:r>
      <w:r>
        <w:rPr>
          <w:sz w:val="24"/>
          <w:szCs w:val="24"/>
        </w:rPr>
        <w:t xml:space="preserve"> Final robustness summary: each headline conclusion and the analytical perturbation it survives.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Conclusion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Stress applied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E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Robust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Maine carries the lowest LSOG share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scoring threshold, drop canopy dimension, FIA panel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lowest in 8 of 9 tests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 LSOG is rare (3 to 5% in Maine)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five LCMS continuity definitions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3.1 to 5.2%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Credible maps disagree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three independent remote-sensing products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1.6 to 2.6 fold, agree on 2.7%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Half the plot-level cross-map disagreement is geolocation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fuzzed vs true FIA coordinates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kappa 0.13 to 0.29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Rare-class detection and area are choice-driven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vs weighted vs balanced vs threshold RF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OG recall 0.24 to 0.82; area 1.0 to 2.3%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structure dominates map uncertainty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five-learner ensemble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P 0.26 to 0.59, SD 0.18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quantified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Canopy height drives the signal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variance-based Sobol indices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first-order ~1.0, disturbance secondary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maps detect most reserve old-growth, neither all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reserve, Big Reed, Baxter validation (Wilson CIs)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 Reed 72 [52,86] vs 80 [61,91]; reserves 67 [64,70] vs 57 [54,60]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>
      <w:pPr>
        <w:spacing w:line="12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2026-06-22T20:01:39.445Z</dcterms:created>
  <dcterms:modified xsi:type="dcterms:W3CDTF">2026-06-22T20:01:39.445Z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