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3D28"/>
          <w:sz w:val="32"/>
          <w:szCs w:val="32"/>
        </w:rPr>
        <w:t xml:space="preserve">How Hard Is It to Map Late-Successional and Old-Growth Forest in Maine?</w:t>
      </w:r>
    </w:p>
    <w:p>
      <w:pPr>
        <w:spacing w:after="40"/>
      </w:pPr>
      <w:r>
        <w:rPr>
          <w:color w:val="666666"/>
          <w:sz w:val="23"/>
          <w:szCs w:val="23"/>
        </w:rPr>
        <w:t xml:space="preserve">A multi-method uncertainty assessment, and a caution for conservation prioritization</w:t>
      </w:r>
    </w:p>
    <w:p>
      <w:pPr>
        <w:spacing w:after="200"/>
      </w:pPr>
      <w:r>
        <w:rPr>
          <w:color w:val="666666"/>
          <w:sz w:val="18"/>
          <w:szCs w:val="18"/>
        </w:rPr>
        <w:t xml:space="preserve">Northeast LSOG Project  |  Center for Research on Sustainable Forests, University of Maine  |  June 9, 2026</w:t>
      </w:r>
    </w:p>
    <w:p>
      <w:pPr>
        <w:pStyle w:val="Heading1"/>
      </w:pPr>
      <w:r>
        <w:t xml:space="preserve">Executive summary</w:t>
      </w:r>
    </w:p>
    <w:p>
      <w:pPr>
        <w:spacing w:after="120"/>
      </w:pPr>
      <w:r>
        <w:t xml:space="preserve">Mapping late-successional and old-growth (LSOG) forest across Maine's working landscape is genuinely hard, and the uncertainty is large. We compared three credible, mappable methods over the same 4.2-million-hectare unorganized townships. They disagree by roughly 1.6 times on how much LSOG exists, they disagree on the location of about four of every five LSOG hectares, and no method reproduces the field-plot classification well. That spatial uncertainty matters: it would steer a conservation acquisition program to largely different ground depending on which map is trusted.</w:t>
      </w:r>
    </w:p>
    <w:p>
      <w:pPr>
        <w:pStyle w:val="ListParagraph"/>
        <w:numPr>
          <w:ilvl w:val="0"/>
          <w:numId w:val="1"/>
        </w:numPr>
        <w:spacing w:after="80"/>
      </w:pPr>
      <w:r>
        <w:rPr>
          <w:sz w:val="21"/>
          <w:szCs w:val="21"/>
        </w:rPr>
        <w:t xml:space="preserve">Three methods, three answers on amount: airborne-LiDAR canopy (Hagan) flags 21.9% of the area as any-LSOG, while two GEDI-canopy-height methods flag about 14%. A single defensible product's estimate also swings 2.5-fold (424,000 to 1,059,000 ha) just by moving a defensible threshold.</w:t>
      </w:r>
    </w:p>
    <w:p>
      <w:pPr>
        <w:pStyle w:val="ListParagraph"/>
        <w:numPr>
          <w:ilvl w:val="0"/>
          <w:numId w:val="1"/>
        </w:numPr>
        <w:spacing w:after="80"/>
      </w:pPr>
      <w:r>
        <w:rPr>
          <w:sz w:val="21"/>
          <w:szCs w:val="21"/>
        </w:rPr>
        <w:t xml:space="preserve">They disagree on where: Hagan and the GEDI-based maps overlap on only ~21% of the hectares either flags (Cohen kappa 0.21). Across all three methods, only 21% of the flagged footprint is agreed by all three; over half is flagged by a single method.</w:t>
      </w:r>
    </w:p>
    <w:p>
      <w:pPr>
        <w:pStyle w:val="ListParagraph"/>
        <w:numPr>
          <w:ilvl w:val="0"/>
          <w:numId w:val="1"/>
        </w:numPr>
        <w:spacing w:after="80"/>
      </w:pPr>
      <w:r>
        <w:rPr>
          <w:sz w:val="21"/>
          <w:szCs w:val="21"/>
        </w:rPr>
        <w:t xml:space="preserve">No clean ground truth: at 1,760 field plots, every method agrees with the FIA field-structure class only weakly (kappa 0.06 to 0.21). LSOG is an inherently continuous, fuzzy property.</w:t>
      </w:r>
    </w:p>
    <w:p>
      <w:pPr>
        <w:pStyle w:val="ListParagraph"/>
        <w:numPr>
          <w:ilvl w:val="0"/>
          <w:numId w:val="1"/>
        </w:numPr>
        <w:spacing w:after="80"/>
      </w:pPr>
      <w:r>
        <w:rPr>
          <w:sz w:val="21"/>
          <w:szCs w:val="21"/>
        </w:rPr>
        <w:t xml:space="preserve">Policy fragility: protecting the top 5 to 20% of hectares by one map versus another overlaps on only 16 to 30% of the ground. A $200-300 million program would buy mostly different forest depending on the map.</w:t>
      </w:r>
    </w:p>
    <w:p>
      <w:pPr>
        <w:pStyle w:val="ListParagraph"/>
        <w:numPr>
          <w:ilvl w:val="0"/>
          <w:numId w:val="1"/>
        </w:numPr>
        <w:spacing w:after="80"/>
      </w:pPr>
      <w:r>
        <w:rPr>
          <w:sz w:val="21"/>
          <w:szCs w:val="21"/>
        </w:rPr>
        <w:t xml:space="preserve">This is not a reproduction error. We reproduced Hagan's published model exactly (94.2% vs 94.1% accuracy) and confirmed the Seven Islands raster equals it (pixel kappa 0.97); the disagreement among methods is real, not an artifact.</w:t>
      </w:r>
    </w:p>
    <w:p>
      <w:pPr>
        <w:pStyle w:val="Heading1"/>
      </w:pPr>
      <w:r>
        <w:t xml:space="preserve">1.  Why this matters now</w:t>
      </w:r>
    </w:p>
    <w:p>
      <w:pPr>
        <w:spacing w:after="120"/>
      </w:pPr>
      <w:r>
        <w:t xml:space="preserve">In 2025 the Maine Legislature passed LD 1529, directing a statewide LSOG conservation strategy by November 2026. A recent report (Thompson et al. 2026, Property and Environment Research Center, Harvard Forest, and University of Maine) builds directly on Hagan et al.'s LiDAR map, treats the roughly 165,000 hectares as established, and estimates that protecting the </w:t>
      </w:r>
      <w:r>
        <w:rPr>
          <w:b/>
          <w:bCs/>
        </w:rPr>
        <w:t xml:space="preserve">top 50% of those LSOG patches would cost on the order of $200-300 million</w:t>
      </w:r>
      <w:r>
        <w:t xml:space="preserve">. When a single map becomes the basis for patch-level prioritization at that scale, the map's uncertainty is a first-order question.</w:t>
      </w:r>
    </w:p>
    <w:p>
      <w:pPr>
        <w:pStyle w:val="Heading1"/>
      </w:pPr>
      <w:r>
        <w:t xml:space="preserve">2.  Three methods on one grid</w:t>
      </w:r>
    </w:p>
    <w:p>
      <w:pPr>
        <w:spacing w:after="120"/>
      </w:pPr>
      <w:r>
        <w:t xml:space="preserve">We placed three mappable methods on the same 100 m grid over the unorganized townships. All target LSOG, but they encode different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c>
          <w:tcPr>
            <w:tcW w:type="dxa" w:w="2400"/>
            <w:tcBorders>
              <w:top w:val="single" w:color="CCCCCC" w:sz="1"/>
              <w:left w:val="single" w:color="CCCCCC" w:sz="1"/>
              <w:bottom w:val="single" w:color="CCCCCC" w:sz="1"/>
              <w:right w:val="single" w:color="CCCCCC" w:sz="1"/>
            </w:tcBorders>
            <w:shd w:fill="1A3D28" w:val="clear"/>
            <w:tcMar>
              <w:top w:type="dxa" w:w="60"/>
              <w:left w:type="dxa" w:w="110"/>
              <w:bottom w:type="dxa" w:w="60"/>
              <w:right w:type="dxa" w:w="110"/>
            </w:tcMar>
          </w:tcPr>
          <w:p>
            <w:pPr>
              <w:jc w:val="left"/>
            </w:pPr>
            <w:r>
              <w:rPr>
                <w:b/>
                <w:bCs/>
                <w:color w:val="FFFFFF"/>
                <w:sz w:val="19"/>
                <w:szCs w:val="19"/>
              </w:rPr>
              <w:t xml:space="preserve">Method</w:t>
            </w:r>
          </w:p>
        </w:tc>
        <w:tc>
          <w:tcPr>
            <w:tcW w:type="dxa" w:w="4360"/>
            <w:tcBorders>
              <w:top w:val="single" w:color="CCCCCC" w:sz="1"/>
              <w:left w:val="single" w:color="CCCCCC" w:sz="1"/>
              <w:bottom w:val="single" w:color="CCCCCC" w:sz="1"/>
              <w:right w:val="single" w:color="CCCCCC" w:sz="1"/>
            </w:tcBorders>
            <w:shd w:fill="1A3D28" w:val="clear"/>
            <w:tcMar>
              <w:top w:type="dxa" w:w="60"/>
              <w:left w:type="dxa" w:w="110"/>
              <w:bottom w:type="dxa" w:w="60"/>
              <w:right w:type="dxa" w:w="110"/>
            </w:tcMar>
          </w:tcPr>
          <w:p>
            <w:pPr>
              <w:jc w:val="right"/>
            </w:pPr>
            <w:r>
              <w:rPr>
                <w:b/>
                <w:bCs/>
                <w:color w:val="FFFFFF"/>
                <w:sz w:val="19"/>
                <w:szCs w:val="19"/>
              </w:rPr>
              <w:t xml:space="preserve">What it measures</w:t>
            </w:r>
          </w:p>
        </w:tc>
        <w:tc>
          <w:tcPr>
            <w:tcW w:type="dxa" w:w="2600"/>
            <w:tcBorders>
              <w:top w:val="single" w:color="CCCCCC" w:sz="1"/>
              <w:left w:val="single" w:color="CCCCCC" w:sz="1"/>
              <w:bottom w:val="single" w:color="CCCCCC" w:sz="1"/>
              <w:right w:val="single" w:color="CCCCCC" w:sz="1"/>
            </w:tcBorders>
            <w:shd w:fill="1A3D28" w:val="clear"/>
            <w:tcMar>
              <w:top w:type="dxa" w:w="60"/>
              <w:left w:type="dxa" w:w="110"/>
              <w:bottom w:type="dxa" w:w="60"/>
              <w:right w:type="dxa" w:w="110"/>
            </w:tcMar>
          </w:tcPr>
          <w:p>
            <w:pPr>
              <w:jc w:val="right"/>
            </w:pPr>
            <w:r>
              <w:rPr>
                <w:b/>
                <w:bCs/>
                <w:color w:val="FFFFFF"/>
                <w:sz w:val="19"/>
                <w:szCs w:val="19"/>
              </w:rPr>
              <w:t xml:space="preserve">Mappable input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000000"/>
                <w:sz w:val="19"/>
                <w:szCs w:val="19"/>
              </w:rPr>
              <w:t xml:space="preserve">M1 Hagan</w:t>
            </w:r>
          </w:p>
        </w:tc>
        <w:tc>
          <w:tcPr>
            <w:tcW w:type="dxa" w:w="43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Canopy structure (random forest on 8 LiDAR canopy metrics)</w:t>
            </w:r>
          </w:p>
        </w:tc>
        <w:tc>
          <w:tcPr>
            <w:tcW w:type="dxa" w:w="2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Airborne LiDAR</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000000"/>
                <w:sz w:val="19"/>
                <w:szCs w:val="19"/>
              </w:rPr>
              <w:t xml:space="preserve">M2 v5.1-GEDI</w:t>
            </w:r>
          </w:p>
        </w:tc>
        <w:tc>
          <w:tcPr>
            <w:tcW w:type="dxa" w:w="43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FIA field-structure LSOG class, calibrated to canopy height</w:t>
            </w:r>
          </w:p>
        </w:tc>
        <w:tc>
          <w:tcPr>
            <w:tcW w:type="dxa" w:w="2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Potapov (GEDI) canopy height</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000000"/>
                <w:sz w:val="19"/>
                <w:szCs w:val="19"/>
              </w:rPr>
              <w:t xml:space="preserve">M3 Potapov-direct</w:t>
            </w:r>
          </w:p>
        </w:tc>
        <w:tc>
          <w:tcPr>
            <w:tcW w:type="dxa" w:w="43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Tall canopy (height &gt;= 18 m)</w:t>
            </w:r>
          </w:p>
        </w:tc>
        <w:tc>
          <w:tcPr>
            <w:tcW w:type="dxa" w:w="2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Potapov (GEDI) canopy height</w:t>
            </w:r>
          </w:p>
        </w:tc>
      </w:tr>
    </w:tbl>
    <w:p>
      <w:pPr>
        <w:spacing w:after="120"/>
      </w:pPr>
      <w:r>
        <w:rPr>
          <w:b/>
          <w:bCs/>
        </w:rPr>
        <w:t xml:space="preserve">The defensible target. </w:t>
      </w:r>
      <w:r>
        <w:t xml:space="preserve">M2 anchors its target in the FIA field-structure definition of LSOG (large old trees, deadwood, structural complexity), which independent evidence shows is ecologically real: the FIA old-growth class matches an independent national estimate almost exactly, and those stands carry 2.6 to 3.6 times the carbon of non-LSOG stands. Canopy height is the single most informative wall-to-wall predictor of that field class (AUC 0.70), which is why M2 uses GEDI height as its mappable signal.</w:t>
      </w:r>
    </w:p>
    <w:p>
      <w:pPr>
        <w:pStyle w:val="Heading1"/>
      </w:pPr>
      <w:r>
        <w:t xml:space="preserve">3.  They disagree on how much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c>
          <w:tcPr>
            <w:tcW w:type="dxa" w:w="4360"/>
            <w:tcBorders>
              <w:top w:val="single" w:color="CCCCCC" w:sz="1"/>
              <w:left w:val="single" w:color="CCCCCC" w:sz="1"/>
              <w:bottom w:val="single" w:color="CCCCCC" w:sz="1"/>
              <w:right w:val="single" w:color="CCCCCC" w:sz="1"/>
            </w:tcBorders>
            <w:shd w:fill="1A3D28" w:val="clear"/>
            <w:tcMar>
              <w:top w:type="dxa" w:w="60"/>
              <w:left w:type="dxa" w:w="110"/>
              <w:bottom w:type="dxa" w:w="60"/>
              <w:right w:type="dxa" w:w="110"/>
            </w:tcMar>
          </w:tcPr>
          <w:p>
            <w:pPr>
              <w:jc w:val="left"/>
            </w:pPr>
            <w:r>
              <w:rPr>
                <w:b/>
                <w:bCs/>
                <w:color w:val="FFFFFF"/>
                <w:sz w:val="19"/>
                <w:szCs w:val="19"/>
              </w:rPr>
              <w:t xml:space="preserve">Method</w:t>
            </w:r>
          </w:p>
        </w:tc>
        <w:tc>
          <w:tcPr>
            <w:tcW w:type="dxa" w:w="2500"/>
            <w:tcBorders>
              <w:top w:val="single" w:color="CCCCCC" w:sz="1"/>
              <w:left w:val="single" w:color="CCCCCC" w:sz="1"/>
              <w:bottom w:val="single" w:color="CCCCCC" w:sz="1"/>
              <w:right w:val="single" w:color="CCCCCC" w:sz="1"/>
            </w:tcBorders>
            <w:shd w:fill="1A3D28" w:val="clear"/>
            <w:tcMar>
              <w:top w:type="dxa" w:w="60"/>
              <w:left w:type="dxa" w:w="110"/>
              <w:bottom w:type="dxa" w:w="60"/>
              <w:right w:type="dxa" w:w="110"/>
            </w:tcMar>
          </w:tcPr>
          <w:p>
            <w:pPr>
              <w:jc w:val="right"/>
            </w:pPr>
            <w:r>
              <w:rPr>
                <w:b/>
                <w:bCs/>
                <w:color w:val="FFFFFF"/>
                <w:sz w:val="19"/>
                <w:szCs w:val="19"/>
              </w:rPr>
              <w:t xml:space="preserve">any-LSOG %</w:t>
            </w:r>
          </w:p>
        </w:tc>
        <w:tc>
          <w:tcPr>
            <w:tcW w:type="dxa" w:w="2500"/>
            <w:tcBorders>
              <w:top w:val="single" w:color="CCCCCC" w:sz="1"/>
              <w:left w:val="single" w:color="CCCCCC" w:sz="1"/>
              <w:bottom w:val="single" w:color="CCCCCC" w:sz="1"/>
              <w:right w:val="single" w:color="CCCCCC" w:sz="1"/>
            </w:tcBorders>
            <w:shd w:fill="1A3D28" w:val="clear"/>
            <w:tcMar>
              <w:top w:type="dxa" w:w="60"/>
              <w:left w:type="dxa" w:w="110"/>
              <w:bottom w:type="dxa" w:w="60"/>
              <w:right w:type="dxa" w:w="110"/>
            </w:tcMar>
          </w:tcPr>
          <w:p>
            <w:pPr>
              <w:jc w:val="right"/>
            </w:pPr>
            <w:r>
              <w:rPr>
                <w:b/>
                <w:bCs/>
                <w:color w:val="FFFFFF"/>
                <w:sz w:val="19"/>
                <w:szCs w:val="19"/>
              </w:rPr>
              <w:t xml:space="preserve">any-LSOG ha</w:t>
            </w:r>
          </w:p>
        </w:tc>
      </w:tr>
      <w:tr>
        <w:tc>
          <w:tcPr>
            <w:tcW w:type="dxa" w:w="43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000000"/>
                <w:sz w:val="19"/>
                <w:szCs w:val="19"/>
              </w:rPr>
              <w:t xml:space="preserve">M1 Hagan (LiDAR canopy)</w:t>
            </w:r>
          </w:p>
        </w:tc>
        <w:tc>
          <w:tcPr>
            <w:tcW w:type="dxa" w:w="2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21.9</w:t>
            </w:r>
          </w:p>
        </w:tc>
        <w:tc>
          <w:tcPr>
            <w:tcW w:type="dxa" w:w="2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938,679</w:t>
            </w:r>
          </w:p>
        </w:tc>
      </w:tr>
      <w:tr>
        <w:tc>
          <w:tcPr>
            <w:tcW w:type="dxa" w:w="43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000000"/>
                <w:sz w:val="19"/>
                <w:szCs w:val="19"/>
              </w:rPr>
              <w:t xml:space="preserve">M2 v5.1-GEDI (FIA + Potapov)</w:t>
            </w:r>
          </w:p>
        </w:tc>
        <w:tc>
          <w:tcPr>
            <w:tcW w:type="dxa" w:w="2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14.0</w:t>
            </w:r>
          </w:p>
        </w:tc>
        <w:tc>
          <w:tcPr>
            <w:tcW w:type="dxa" w:w="2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597,528</w:t>
            </w:r>
          </w:p>
        </w:tc>
      </w:tr>
      <w:tr>
        <w:tc>
          <w:tcPr>
            <w:tcW w:type="dxa" w:w="43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000000"/>
                <w:sz w:val="19"/>
                <w:szCs w:val="19"/>
              </w:rPr>
              <w:t xml:space="preserve">M3 Potapov-direct (RH95 &gt;= 18 m)</w:t>
            </w:r>
          </w:p>
        </w:tc>
        <w:tc>
          <w:tcPr>
            <w:tcW w:type="dxa" w:w="2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14.1</w:t>
            </w:r>
          </w:p>
        </w:tc>
        <w:tc>
          <w:tcPr>
            <w:tcW w:type="dxa" w:w="2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603,991</w:t>
            </w:r>
          </w:p>
        </w:tc>
      </w:tr>
    </w:tbl>
    <w:p>
      <w:pPr>
        <w:spacing w:after="40" w:before="80"/>
        <w:jc w:val="center"/>
      </w:pPr>
      <w:r>
        <w:drawing>
          <wp:inline distT="0" distB="0" distL="0" distR="0">
            <wp:extent cx="4095750" cy="2419350"/>
            <wp:effectExtent t="0" r="0" b="0" l="0"/>
            <wp:docPr id="1" name="Figure 1. Any-LSOG area by method. Hagan flags 1.6x more than the GEDI-based products; the red bar shows the 2.5-fold swing in the defensible product from the threshold choice alone." descr="Figure 1. Any-LSOG area by method. Hagan flags 1.6x more than the GEDI-based products; the red bar shows the 2.5-fold swing in the defensible product from the threshold choice alone." title="Figure 1. Any-LSOG area by method. Hagan flags 1.6x more than the GEDI-based products; the red bar shows the 2.5-fold swing in the defensible product from the threshold choice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419350"/>
                    </a:xfrm>
                    <a:prstGeom prst="rect">
                      <a:avLst/>
                    </a:prstGeom>
                  </pic:spPr>
                </pic:pic>
              </a:graphicData>
            </a:graphic>
          </wp:inline>
        </w:drawing>
      </w:r>
    </w:p>
    <w:p>
      <w:pPr>
        <w:spacing w:after="160"/>
        <w:jc w:val="center"/>
      </w:pPr>
      <w:r>
        <w:rPr>
          <w:i/>
          <w:iCs/>
          <w:color w:val="666666"/>
          <w:sz w:val="17"/>
          <w:szCs w:val="17"/>
        </w:rPr>
        <w:t xml:space="preserve">Figure 1. Any-LSOG area by method. Hagan flags 1.6x more than the GEDI-based products; the red bar shows the 2.5-fold swing in the defensible product from the threshold choice alone.</w:t>
      </w:r>
    </w:p>
    <w:p>
      <w:pPr>
        <w:spacing w:after="120"/>
      </w:pPr>
      <w:r>
        <w:rPr>
          <w:b/>
          <w:bCs/>
        </w:rPr>
        <w:t xml:space="preserve">Note. </w:t>
      </w:r>
      <w:r>
        <w:t xml:space="preserve">Hagan's any-LSOG includes a large "Transitioning LS" class that is, by his own definition, not yet mature. 71% of the hectares Hagan calls LSOG have GEDI canopy height below 18 m. Some of that is expected for a transitional class, but policy framings that treat the full any-LSOG figure as "old forest" inherit the ambiguity.</w:t>
      </w:r>
    </w:p>
    <w:p>
      <w:pPr>
        <w:pStyle w:val="Heading1"/>
      </w:pPr>
      <w:r>
        <w:t xml:space="preserve">4.  They disagree on where, much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c>
          <w:tcPr>
            <w:tcW w:type="dxa" w:w="4360"/>
            <w:tcBorders>
              <w:top w:val="single" w:color="CCCCCC" w:sz="1"/>
              <w:left w:val="single" w:color="CCCCCC" w:sz="1"/>
              <w:bottom w:val="single" w:color="CCCCCC" w:sz="1"/>
              <w:right w:val="single" w:color="CCCCCC" w:sz="1"/>
            </w:tcBorders>
            <w:shd w:fill="1A3D28" w:val="clear"/>
            <w:tcMar>
              <w:top w:type="dxa" w:w="60"/>
              <w:left w:type="dxa" w:w="110"/>
              <w:bottom w:type="dxa" w:w="60"/>
              <w:right w:type="dxa" w:w="110"/>
            </w:tcMar>
          </w:tcPr>
          <w:p>
            <w:pPr>
              <w:jc w:val="left"/>
            </w:pPr>
            <w:r>
              <w:rPr>
                <w:b/>
                <w:bCs/>
                <w:color w:val="FFFFFF"/>
                <w:sz w:val="19"/>
                <w:szCs w:val="19"/>
              </w:rPr>
              <w:t xml:space="preserve">Pair</w:t>
            </w:r>
          </w:p>
        </w:tc>
        <w:tc>
          <w:tcPr>
            <w:tcW w:type="dxa" w:w="2500"/>
            <w:tcBorders>
              <w:top w:val="single" w:color="CCCCCC" w:sz="1"/>
              <w:left w:val="single" w:color="CCCCCC" w:sz="1"/>
              <w:bottom w:val="single" w:color="CCCCCC" w:sz="1"/>
              <w:right w:val="single" w:color="CCCCCC" w:sz="1"/>
            </w:tcBorders>
            <w:shd w:fill="1A3D28" w:val="clear"/>
            <w:tcMar>
              <w:top w:type="dxa" w:w="60"/>
              <w:left w:type="dxa" w:w="110"/>
              <w:bottom w:type="dxa" w:w="60"/>
              <w:right w:type="dxa" w:w="110"/>
            </w:tcMar>
          </w:tcPr>
          <w:p>
            <w:pPr>
              <w:jc w:val="right"/>
            </w:pPr>
            <w:r>
              <w:rPr>
                <w:b/>
                <w:bCs/>
                <w:color w:val="FFFFFF"/>
                <w:sz w:val="19"/>
                <w:szCs w:val="19"/>
              </w:rPr>
              <w:t xml:space="preserve">Cohen kappa</w:t>
            </w:r>
          </w:p>
        </w:tc>
        <w:tc>
          <w:tcPr>
            <w:tcW w:type="dxa" w:w="2500"/>
            <w:tcBorders>
              <w:top w:val="single" w:color="CCCCCC" w:sz="1"/>
              <w:left w:val="single" w:color="CCCCCC" w:sz="1"/>
              <w:bottom w:val="single" w:color="CCCCCC" w:sz="1"/>
              <w:right w:val="single" w:color="CCCCCC" w:sz="1"/>
            </w:tcBorders>
            <w:shd w:fill="1A3D28" w:val="clear"/>
            <w:tcMar>
              <w:top w:type="dxa" w:w="60"/>
              <w:left w:type="dxa" w:w="110"/>
              <w:bottom w:type="dxa" w:w="60"/>
              <w:right w:type="dxa" w:w="110"/>
            </w:tcMar>
          </w:tcPr>
          <w:p>
            <w:pPr>
              <w:jc w:val="right"/>
            </w:pPr>
            <w:r>
              <w:rPr>
                <w:b/>
                <w:bCs/>
                <w:color w:val="FFFFFF"/>
                <w:sz w:val="19"/>
                <w:szCs w:val="19"/>
              </w:rPr>
              <w:t xml:space="preserve">Jaccard overlap</w:t>
            </w:r>
          </w:p>
        </w:tc>
      </w:tr>
      <w:tr>
        <w:tc>
          <w:tcPr>
            <w:tcW w:type="dxa" w:w="43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000000"/>
                <w:sz w:val="19"/>
                <w:szCs w:val="19"/>
              </w:rPr>
              <w:t xml:space="preserve">Hagan vs v5.1-GEDI</w:t>
            </w:r>
          </w:p>
        </w:tc>
        <w:tc>
          <w:tcPr>
            <w:tcW w:type="dxa" w:w="2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0.21</w:t>
            </w:r>
          </w:p>
        </w:tc>
        <w:tc>
          <w:tcPr>
            <w:tcW w:type="dxa" w:w="2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0.21</w:t>
            </w:r>
          </w:p>
        </w:tc>
      </w:tr>
      <w:tr>
        <w:tc>
          <w:tcPr>
            <w:tcW w:type="dxa" w:w="43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000000"/>
                <w:sz w:val="19"/>
                <w:szCs w:val="19"/>
              </w:rPr>
              <w:t xml:space="preserve">Hagan vs Potapov-direct</w:t>
            </w:r>
          </w:p>
        </w:tc>
        <w:tc>
          <w:tcPr>
            <w:tcW w:type="dxa" w:w="2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0.21</w:t>
            </w:r>
          </w:p>
        </w:tc>
        <w:tc>
          <w:tcPr>
            <w:tcW w:type="dxa" w:w="2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0.21</w:t>
            </w:r>
          </w:p>
        </w:tc>
      </w:tr>
      <w:tr>
        <w:tc>
          <w:tcPr>
            <w:tcW w:type="dxa" w:w="43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000000"/>
                <w:sz w:val="19"/>
                <w:szCs w:val="19"/>
              </w:rPr>
              <w:t xml:space="preserve">v5.1-GEDI vs Potapov-direct</w:t>
            </w:r>
          </w:p>
        </w:tc>
        <w:tc>
          <w:tcPr>
            <w:tcW w:type="dxa" w:w="2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0.99</w:t>
            </w:r>
          </w:p>
        </w:tc>
        <w:tc>
          <w:tcPr>
            <w:tcW w:type="dxa" w:w="2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0.99</w:t>
            </w:r>
          </w:p>
        </w:tc>
      </w:tr>
    </w:tbl>
    <w:p>
      <w:pPr>
        <w:spacing w:after="40" w:before="80"/>
        <w:jc w:val="center"/>
      </w:pPr>
      <w:r>
        <w:drawing>
          <wp:inline distT="0" distB="0" distL="0" distR="0">
            <wp:extent cx="4381500" cy="1638300"/>
            <wp:effectExtent t="0" r="0" b="0" l="0"/>
            <wp:docPr id="1" name="Figure 2. The same 24 km window classified by each method. Hagan (green) flags far more forest, and in different places, than the GEDI-based maps (blue, gold)." descr="Figure 2. The same 24 km window classified by each method. Hagan (green) flags far more forest, and in different places, than the GEDI-based maps (blue, gold)." title="Figure 2. The same 24 km window classified by each method. Hagan (green) flags far more forest, and in different places, than the GEDI-based maps (blue,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638300"/>
                    </a:xfrm>
                    <a:prstGeom prst="rect">
                      <a:avLst/>
                    </a:prstGeom>
                  </pic:spPr>
                </pic:pic>
              </a:graphicData>
            </a:graphic>
          </wp:inline>
        </w:drawing>
      </w:r>
    </w:p>
    <w:p>
      <w:pPr>
        <w:spacing w:after="160"/>
        <w:jc w:val="center"/>
      </w:pPr>
      <w:r>
        <w:rPr>
          <w:i/>
          <w:iCs/>
          <w:color w:val="666666"/>
          <w:sz w:val="17"/>
          <w:szCs w:val="17"/>
        </w:rPr>
        <w:t xml:space="preserve">Figure 2. The same 24 km window classified by each method. Hagan (green) flags far more forest, and in different places, than the GEDI-based maps (blue, gold).</w:t>
      </w:r>
    </w:p>
    <w:p>
      <w:pPr>
        <w:spacing w:after="40" w:before="80"/>
        <w:jc w:val="center"/>
      </w:pPr>
      <w:r>
        <w:drawing>
          <wp:inline distT="0" distB="0" distL="0" distR="0">
            <wp:extent cx="2857500" cy="2476500"/>
            <wp:effectExtent t="0" r="0" b="0" l="0"/>
            <wp:docPr id="1" name="Figure 3. Of every hectare flagged LSOG by any method, only 21% is agreed by all three; the majority is flagged by a single method." descr="Figure 3. Of every hectare flagged LSOG by any method, only 21% is agreed by all three; the majority is flagged by a single method." title="Figure 3. Of every hectare flagged LSOG by any method, only 21% is agreed by all three; the majority is flagged by a single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476500"/>
                    </a:xfrm>
                    <a:prstGeom prst="rect">
                      <a:avLst/>
                    </a:prstGeom>
                  </pic:spPr>
                </pic:pic>
              </a:graphicData>
            </a:graphic>
          </wp:inline>
        </w:drawing>
      </w:r>
    </w:p>
    <w:p>
      <w:pPr>
        <w:spacing w:after="160"/>
        <w:jc w:val="center"/>
      </w:pPr>
      <w:r>
        <w:rPr>
          <w:i/>
          <w:iCs/>
          <w:color w:val="666666"/>
          <w:sz w:val="17"/>
          <w:szCs w:val="17"/>
        </w:rPr>
        <w:t xml:space="preserve">Figure 3. Of every hectare flagged LSOG by any method, only 21% is agreed by all three; the majority is flagged by a single method.</w:t>
      </w:r>
    </w:p>
    <w:p>
      <w:pPr>
        <w:spacing w:after="120"/>
      </w:pPr>
      <w:r>
        <w:t xml:space="preserve">Hagan and the GEDI-based maps overlap on only about 21% of the hectares either one flags. The two GEDI-based maps agree with each other because both derive from canopy height; they represent one canopy-height view against Hagan's airborne-LiDAR view. The LSOG footprint is, to first order, method-dependent.</w:t>
      </w:r>
    </w:p>
    <w:p>
      <w:pPr>
        <w:pStyle w:val="Heading1"/>
      </w:pPr>
      <w:r>
        <w:t xml:space="preserve">5.  No method matches the field plots well</w:t>
      </w:r>
    </w:p>
    <w:p>
      <w:pPr>
        <w:spacing w:after="120"/>
      </w:pPr>
      <w:r>
        <w:t xml:space="preserve">At the 1,760 FIA plots inside the unorganized townships, agreement with the FIA field-structure class is weak for every method (Cohen kappa 0.06 to 0.07 at the plot, rising to only 0.21 wall-to-wall). Even the FIA-calibrated GEDI product reaches just 0.063 plot-by-plot, because canopy height alone cannot resolve the tree-level structure that defines LSOG on the ground. There is no clean ground truth: the field class is itself a proxy for a continuous, fuzzy property.</w:t>
      </w:r>
    </w:p>
    <w:p>
      <w:pPr>
        <w:pStyle w:val="Heading1"/>
      </w:pPr>
      <w:r>
        <w:t xml:space="preserve">6.  Why this matters for conservation spending</w:t>
      </w:r>
    </w:p>
    <w:p>
      <w:pPr>
        <w:spacing w:after="120"/>
      </w:pPr>
      <w:r>
        <w:t xml:space="preserve">If a program protects the highest-priority hectares, do different maps point to the same ground? The overlap of the top-ranked protected sets, Hagan versus the GEDI product, is small.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A3D28" w:val="clear"/>
            <w:tcMar>
              <w:top w:type="dxa" w:w="60"/>
              <w:left w:type="dxa" w:w="110"/>
              <w:bottom w:type="dxa" w:w="60"/>
              <w:right w:type="dxa" w:w="110"/>
            </w:tcMar>
          </w:tcPr>
          <w:p>
            <w:pPr>
              <w:jc w:val="left"/>
            </w:pPr>
            <w:r>
              <w:rPr>
                <w:b/>
                <w:bCs/>
                <w:color w:val="FFFFFF"/>
                <w:sz w:val="19"/>
                <w:szCs w:val="19"/>
              </w:rPr>
              <w:t xml:space="preserve">Protect the top...</w:t>
            </w:r>
          </w:p>
        </w:tc>
        <w:tc>
          <w:tcPr>
            <w:tcW w:type="dxa" w:w="4680"/>
            <w:tcBorders>
              <w:top w:val="single" w:color="CCCCCC" w:sz="1"/>
              <w:left w:val="single" w:color="CCCCCC" w:sz="1"/>
              <w:bottom w:val="single" w:color="CCCCCC" w:sz="1"/>
              <w:right w:val="single" w:color="CCCCCC" w:sz="1"/>
            </w:tcBorders>
            <w:shd w:fill="1A3D28" w:val="clear"/>
            <w:tcMar>
              <w:top w:type="dxa" w:w="60"/>
              <w:left w:type="dxa" w:w="110"/>
              <w:bottom w:type="dxa" w:w="60"/>
              <w:right w:type="dxa" w:w="110"/>
            </w:tcMar>
          </w:tcPr>
          <w:p>
            <w:pPr>
              <w:jc w:val="right"/>
            </w:pPr>
            <w:r>
              <w:rPr>
                <w:b/>
                <w:bCs/>
                <w:color w:val="FFFFFF"/>
                <w:sz w:val="19"/>
                <w:szCs w:val="19"/>
              </w:rPr>
              <w:t xml:space="preserve">Overlap of protected hectares (Jaccard)</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000000"/>
                <w:sz w:val="19"/>
                <w:szCs w:val="19"/>
              </w:rPr>
              <w:t xml:space="preserve">5% of hectares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0.16</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000000"/>
                <w:sz w:val="19"/>
                <w:szCs w:val="19"/>
              </w:rPr>
              <w:t xml:space="preserve">10% of hectares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0.30</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000000"/>
                <w:sz w:val="19"/>
                <w:szCs w:val="19"/>
              </w:rPr>
              <w:t xml:space="preserve">20% of hectares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right"/>
            </w:pPr>
            <w:r>
              <w:rPr>
                <w:b w:val="false"/>
                <w:bCs w:val="false"/>
                <w:color w:val="000000"/>
                <w:sz w:val="19"/>
                <w:szCs w:val="19"/>
              </w:rPr>
              <w:t xml:space="preserve">0.27</w:t>
            </w:r>
          </w:p>
        </w:tc>
      </w:tr>
    </w:tbl>
    <w:p>
      <w:pPr>
        <w:spacing w:after="40" w:before="80"/>
        <w:jc w:val="center"/>
      </w:pPr>
      <w:r>
        <w:drawing>
          <wp:inline distT="0" distB="0" distL="0" distR="0">
            <wp:extent cx="3810000" cy="2476500"/>
            <wp:effectExtent t="0" r="0" b="0" l="0"/>
            <wp:docPr id="1" name="Figure 4. 70 to 84% of the prioritized hectares differ depending on which map is used." descr="Figure 4. 70 to 84% of the prioritized hectares differ depending on which map is used." title="Figure 4. 70 to 84% of the prioritized hectares differ depending on which map is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476500"/>
                    </a:xfrm>
                    <a:prstGeom prst="rect">
                      <a:avLst/>
                    </a:prstGeom>
                  </pic:spPr>
                </pic:pic>
              </a:graphicData>
            </a:graphic>
          </wp:inline>
        </w:drawing>
      </w:r>
    </w:p>
    <w:p>
      <w:pPr>
        <w:spacing w:after="160"/>
        <w:jc w:val="center"/>
      </w:pPr>
      <w:r>
        <w:rPr>
          <w:i/>
          <w:iCs/>
          <w:color w:val="666666"/>
          <w:sz w:val="17"/>
          <w:szCs w:val="17"/>
        </w:rPr>
        <w:t xml:space="preserve">Figure 4. 70 to 84% of the prioritized hectares differ depending on which map is used.</w:t>
      </w:r>
    </w:p>
    <w:p>
      <w:pPr>
        <w:spacing w:after="120"/>
      </w:pPr>
      <w:r>
        <w:t xml:space="preserve">A $200-300 million acquisition program steered by one map would buy largely different forest than the same program steered by another equally defensible map. Spatial uncertainty, not just the headline total, is the operative risk for prioritization.</w:t>
      </w:r>
    </w:p>
    <w:p>
      <w:pPr>
        <w:pStyle w:val="Heading1"/>
      </w:pPr>
      <w:r>
        <w:t xml:space="preserve">7.  Recommendations</w:t>
      </w:r>
    </w:p>
    <w:p>
      <w:pPr>
        <w:pStyle w:val="ListParagraph"/>
        <w:numPr>
          <w:ilvl w:val="0"/>
          <w:numId w:val="1"/>
        </w:numPr>
        <w:spacing w:after="80"/>
      </w:pPr>
      <w:r>
        <w:rPr>
          <w:sz w:val="21"/>
          <w:szCs w:val="21"/>
        </w:rPr>
        <w:t xml:space="preserve">Report LSOG extent as a range across methods with explicit uncertainty, not a single hectare figure.</w:t>
      </w:r>
    </w:p>
    <w:p>
      <w:pPr>
        <w:pStyle w:val="ListParagraph"/>
        <w:numPr>
          <w:ilvl w:val="0"/>
          <w:numId w:val="1"/>
        </w:numPr>
        <w:spacing w:after="80"/>
      </w:pPr>
      <w:r>
        <w:rPr>
          <w:sz w:val="21"/>
          <w:szCs w:val="21"/>
        </w:rPr>
        <w:t xml:space="preserve">Treat single-map, patch-level prioritization for large expenditures with caution, and pair it with field verification before acquisition.</w:t>
      </w:r>
    </w:p>
    <w:p>
      <w:pPr>
        <w:pStyle w:val="ListParagraph"/>
        <w:numPr>
          <w:ilvl w:val="0"/>
          <w:numId w:val="1"/>
        </w:numPr>
        <w:spacing w:after="80"/>
      </w:pPr>
      <w:r>
        <w:rPr>
          <w:sz w:val="21"/>
          <w:szCs w:val="21"/>
        </w:rPr>
        <w:t xml:space="preserve">Anchor the mappable definition in FIA field structure (the v5.1 target) and use GEDI canopy height as the wall-to-wall predictor; this is the most defensible product, but it remains one uncertain estimate among several.</w:t>
      </w:r>
    </w:p>
    <w:p>
      <w:pPr>
        <w:pStyle w:val="ListParagraph"/>
        <w:numPr>
          <w:ilvl w:val="0"/>
          <w:numId w:val="1"/>
        </w:numPr>
        <w:spacing w:after="80"/>
      </w:pPr>
      <w:r>
        <w:rPr>
          <w:sz w:val="21"/>
          <w:szCs w:val="21"/>
        </w:rPr>
        <w:t xml:space="preserve">Ensure reports informing LD 1529, including Thompson et al. (2026), carry the mapping uncertainty in the headline rather than the appendix.</w:t>
      </w:r>
    </w:p>
    <w:p>
      <w:pPr>
        <w:pStyle w:val="Heading1"/>
      </w:pPr>
      <w:r>
        <w:t xml:space="preserve">Appendix: the disagreement is genuine, not a reproduction error</w:t>
      </w:r>
    </w:p>
    <w:p>
      <w:pPr>
        <w:spacing w:after="120"/>
      </w:pPr>
      <w:r>
        <w:t xml:space="preserve">We reproduced Hagan's published random forest from the public Zenodo deposit (binary accuracy 94.2% versus the published 94.1%; same top predictor), reproduced the wall-to-wall areas to within rounding, and confirmed that the privately shared Seven Islands raster equals the published model (pixel-level Cohen kappa 0.97 across 289,703 hectares). A 20-seed ensemble, a coordinate-fuzz test, and a 2,000-sample bootstrap all confirm the figures above are robust. The divergence among methods therefore reflects real methodological and definitional differences in how LSOG is identified, not an error in any one reproduction.</w:t>
      </w:r>
    </w:p>
    <w:p>
      <w:pPr>
        <w:pStyle w:val="Heading1"/>
      </w:pPr>
      <w:r>
        <w:t xml:space="preserve">Sources</w:t>
      </w:r>
    </w:p>
    <w:p>
      <w:pPr>
        <w:spacing w:after="120"/>
      </w:pPr>
      <w:r>
        <w:t xml:space="preserve">Hagan, J.M., Shamgochian, B., Taylor, M.M.L. &amp; Reed, J.M. (2026). Using LiDAR to quantify, map, and conserve late-successional and old-growth forest in Maine, USA. </w:t>
      </w:r>
      <w:r>
        <w:rPr>
          <w:i/>
          <w:iCs/>
        </w:rPr>
        <w:t xml:space="preserve">Ecosphere</w:t>
      </w:r>
      <w:r>
        <w:t xml:space="preserve"> 17:e70670.  </w:t>
      </w:r>
      <w:hyperlink w:history="1" r:id="rIdvcdes4q5ciyftlhsm0zty">
        <w:r>
          <w:rPr>
            <w:rStyle w:val="Hyperlink"/>
          </w:rPr>
          <w:t xml:space="preserve">doi.org/10.1002/ecs2.70670</w:t>
        </w:r>
      </w:hyperlink>
    </w:p>
    <w:p>
      <w:pPr>
        <w:spacing w:after="120"/>
      </w:pPr>
      <w:r>
        <w:t xml:space="preserve">Thompson, J.R., Daigneault, A., Plisinski, J., Moon, I. &amp; Norton, J. (2026). Pathways for Protecting Maine's Remaining Late-Successional and Old-Growth Forests. Property and Environment Research Center.</w:t>
      </w:r>
    </w:p>
    <w:p>
      <w:pPr>
        <w:spacing w:after="120"/>
      </w:pPr>
      <w:r>
        <w:t xml:space="preserve">Potapov, P. et al. (2021). Mapping global forest canopy height through GEDI and Landsat. Remote Sensing of Environment 253, 112165.</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Northeast LSOG Project  |  CRSF, University of Maine  |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A3D2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cdes4q5ciyftlhsm0zty" Type="http://schemas.openxmlformats.org/officeDocument/2006/relationships/hyperlink" Target="https://doi.org/10.1002/ecs2.70670" TargetMode="External"/><Relationship Id="rId8" Type="http://schemas.openxmlformats.org/officeDocument/2006/relationships/image" Target="media/38851643a745187c81a34c85a703164f7daa960a.png"/><Relationship Id="rId9" Type="http://schemas.openxmlformats.org/officeDocument/2006/relationships/image" Target="media/c8bca8756968d69795c554cabf49bbee713d2785.png"/><Relationship Id="rId10" Type="http://schemas.openxmlformats.org/officeDocument/2006/relationships/image" Target="media/00fa849e08719c28e7d401c20876b3b31b318907.png"/><Relationship Id="rId11" Type="http://schemas.openxmlformats.org/officeDocument/2006/relationships/image" Target="media/65d0171b3ceb5af5e69a5aa70424bb2b577a7c2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2026-06-09T15:49:28.789Z</dcterms:created>
  <dcterms:modified xsi:type="dcterms:W3CDTF">2026-06-09T15:49:28.805Z</dcterms:modified>
</cp:coreProperties>
</file>

<file path=docProps/custom.xml><?xml version="1.0" encoding="utf-8"?>
<Properties xmlns="http://schemas.openxmlformats.org/officeDocument/2006/custom-properties" xmlns:vt="http://schemas.openxmlformats.org/officeDocument/2006/docPropsVTypes"/>
</file>