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p>
    <w:p>
      <w:pPr>
        <w:spacing w:after="60"/>
      </w:pPr>
      <w:r>
        <w:rPr>
          <w:color w:val="555555"/>
          <w:sz w:val="18"/>
          <w:szCs w:val="18"/>
        </w:rPr>
        <w:t xml:space="preserve">University of Maine, Center for Research on Sustainable Forests, Orono, ME 04469, USA. aaron.weiskittel@maine.edu</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 conducts forest inventory and biometric modeling in Maine and has a professional interest in how forest-inventory information is used in state policy. The analyses here use the original authors' archived data and public FIA and remote-sensing data, and all code is openly archived.</w:t>
      </w:r>
    </w:p>
    <w:p>
      <w:pPr>
        <w:pStyle w:val="Heading1"/>
        <w:keepNext/>
      </w:pPr>
      <w:r>
        <w:t xml:space="preserve">1.  Introduction</w:t>
      </w:r>
    </w:p>
    <w:p>
      <w:pPr>
        <w:spacing w:after="108" w:line="276"/>
        <w:jc w:val="both"/>
      </w:pPr>
      <w:r>
        <w:rPr>
          <w:sz w:val="22"/>
          <w:szCs w:val="22"/>
        </w:rPr>
        <w:t xml:space="preserve">All maps and models are wrong; the only useful question is whether they are useful for the decision at hand (Box 1976). This is not a special weakness of forest mapping, and we raise it in that constructive spirit. It is simply more acute for late-successional and old-growth (LSOG) forest, because LSOG is a continuous, multi-dimensional, and partly subjective condition that any classification must force into discrete classes (Gray et al. 2023). The map of Hagan et al. (2026) is a useful and timely product, and the useful question for it is the same as for any map: is it fit for the decision now being made with it, the prioritization of roughly $200-300 million in conservation funding under Maine's LD 1529 (Thompson et al. 2026)? Fitness at those stakes depends on properties the original analysis did not report: the map's agreement with independent maps and with unbiased ground inventory, and a confidence interval on the quantities taken from it. We provide both, using the authors' own archived data and public inventory over the same area, in the hope of strengthening, not diminishing, the use of LiDAR for this purpose.</w:t>
      </w:r>
    </w:p>
    <w:p>
      <w:pPr>
        <w:spacing w:after="108" w:line="276"/>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 The authors are also candid about the limits of the work: they include a Limitations section, report that the model classifies true old growth correctly only 29.4% of the time, state that they could not estimate ingrowth, emphasize that old-forest definitions vary widely and materially change the result, and recommend ground-truthing before any management or conservation decision. Our aim is not to dispute these caveats but to quantify them, because the map is now being used quantitatively, for parcel-level prioritization and cost estimation, at a scale to which its stated uncertainties were never propagated.</w:t>
      </w:r>
    </w:p>
    <w:p>
      <w:pPr>
        <w:spacing w:after="108" w:line="276"/>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The original authors engage much of this literature, citing the national FIA assessments, the wicked-problem synthesis, and GEDI-based structural work; what the analysis does not do is use any independent product as a benchmark, place a sampling interval on its quantities, or ground the Maine estimate in the design-based inventory.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108" w:line="276"/>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gold standard the LiDAR map approximates, places the amount of older forest with a sampling-error confidence interval the original analysis did not report, and shows the stock to be stable or increasing rather than rapidly declining (Section 5). Sections 6 and 7 then place Maine in a New England context, show how little older forest is already protected, and demonstrate a constructive ensemble-and-uncertainty alternative; Sections 8 and 9 give implications and recommendations.</w:t>
      </w:r>
    </w:p>
    <w:p>
      <w:pPr>
        <w:pStyle w:val="Heading1"/>
        <w:keepNext/>
      </w:pPr>
      <w:r>
        <w:t xml:space="preserve">2.  Training accuracy is high for every approach, and is not the issue</w:t>
      </w:r>
    </w:p>
    <w:p>
      <w:pPr>
        <w:spacing w:after="108" w:line="276"/>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p>
      <w:pPr>
        <w:keepNext/>
        <w:spacing w:after="60" w:before="160"/>
      </w:pPr>
      <w:r>
        <w:rPr>
          <w:i/>
          <w:iCs/>
          <w:color w:val="555555"/>
          <w:sz w:val="18"/>
          <w:szCs w:val="18"/>
        </w:rPr>
        <w:t xml:space="preserve">Table 1. Cross-validated AUC (mean [95% interval]) recovering the field-assigned class from three predictor sets, on the 463 archived training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cantSplit/>
        </w:trP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Ground structure</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0.966 [0.962, 0.969]</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0.970 [0.967, 0.973]</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0.974 [0.966, 0.981]</w:t>
            </w:r>
          </w:p>
        </w:tc>
      </w:tr>
    </w:tbl>
    <w:p>
      <w:pPr>
        <w:spacing w:after="108" w:line="276"/>
        <w:jc w:val="both"/>
      </w:pPr>
      <w:r>
        <w:rPr>
          <w:sz w:val="22"/>
          <w:szCs w:val="22"/>
        </w:rPr>
        <w:t xml:space="preserve">Reproducing the published random forest, the out-of-bag confusion matrix makes the same point graphically (Fig. 1): the model recovers Not-LSOG (95%) and the broad classes well, but classifies true old growth correctly only about a quarter of the time (24% in our reproduction, close to the 29.4% the authors report; the small difference is random-forest stochasticity on the 17 old-growth plots), confusing it mostly with late-successional and transitioning forest. Because old growth is the rare, high-value class a prioritization actually targets, this is the operating-point performance that matters. The mapped extent is also sensitive to the probability cutoff used to call a pixel LSOG: across plausible cutoffs the fraction of labelled plots called LSOG, the overall accuracy, and the true-skill statistic all shift substantially (Fig. 2; this is computed on the labelled plots to show the leverage of the cutoff, and reflects training prevalence rather than landscape area). The threshold-independent rank ability is itself high (out-of-bag ROC AUC 0.979 [0.967, 0.989]), so the issue is not that the classifier ranks poorly; it is that the single cutoff baked into a delivered map, and the extent that cutoff produces, are consequential and rarely reported.</w:t>
      </w:r>
    </w:p>
    <w:p>
      <w:pPr>
        <w:keepNext/>
        <w:spacing w:after="40" w:before="120"/>
        <w:jc w:val="center"/>
      </w:pPr>
      <w:r>
        <w:drawing>
          <wp:inline distT="0" distB="0" distL="0" distR="0">
            <wp:extent cx="3810000" cy="3048000"/>
            <wp:effectExtent t="0" r="0" b="0" l="0"/>
            <wp:docPr id="1" name="Fig. 1. Out-of-bag confusion matrix for the reproduced airborne-LiDAR random forest, row-normalized (cell counts in parentheses). True old growth is classified correctly only 24% of the time, mostly confused with late-successional and transitioning forest." descr="Fig. 1. Out-of-bag confusion matrix for the reproduced airborne-LiDAR random forest, row-normalized (cell counts in parentheses). True old growth is classified correctly only 24% of the time, mostly confused with late-successional and transitioning forest." title="Fig. 1. Out-of-bag confusion matrix for the reproduced airborne-LiDAR random forest, row-normalized (cell counts in parentheses). True old growth is classified correctly only 24% of the time, mostly confused with late-successional and transitioning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3048000"/>
                    </a:xfrm>
                    <a:prstGeom prst="rect">
                      <a:avLst/>
                    </a:prstGeom>
                  </pic:spPr>
                </pic:pic>
              </a:graphicData>
            </a:graphic>
          </wp:inline>
        </w:drawing>
      </w:r>
    </w:p>
    <w:p>
      <w:pPr>
        <w:spacing w:after="160" w:before="60"/>
      </w:pPr>
      <w:r>
        <w:rPr>
          <w:i/>
          <w:iCs/>
          <w:color w:val="555555"/>
          <w:sz w:val="18"/>
          <w:szCs w:val="18"/>
        </w:rPr>
        <w:t xml:space="preserve">Fig. 1. Out-of-bag confusion matrix for the reproduced airborne-LiDAR random forest, row-normalized (cell counts in parentheses). True old growth is classified correctly only 24% of the time, mostly confused with late-successional and transitioning forest.</w:t>
      </w:r>
    </w:p>
    <w:p>
      <w:pPr>
        <w:keepNext/>
        <w:spacing w:after="40" w:before="120"/>
        <w:jc w:val="center"/>
      </w:pPr>
      <w:r>
        <w:drawing>
          <wp:inline distT="0" distB="0" distL="0" distR="0">
            <wp:extent cx="4286250" cy="3000375"/>
            <wp:effectExtent t="0" r="0" b="0" l="0"/>
            <wp:docPr id="1" nam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descr="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titl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3000375"/>
                    </a:xfrm>
                    <a:prstGeom prst="rect">
                      <a:avLst/>
                    </a:prstGeom>
                  </pic:spPr>
                </pic:pic>
              </a:graphicData>
            </a:graphic>
          </wp:inline>
        </w:drawing>
      </w:r>
    </w:p>
    <w:p>
      <w:pPr>
        <w:spacing w:after="160" w:before="60"/>
      </w:pPr>
      <w:r>
        <w:rPr>
          <w:i/>
          <w:iCs/>
          <w:color w:val="555555"/>
          <w:sz w:val="18"/>
          <w:szCs w:val="18"/>
        </w:rPr>
        <w:t xml:space="preserv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w:t>
      </w:r>
    </w:p>
    <w:p>
      <w:pPr>
        <w:pStyle w:val="Heading1"/>
        <w:keepNext/>
      </w:pPr>
      <w:r>
        <w:t xml:space="preserve">3.  High training accuracy does not produce map agreement</w:t>
      </w:r>
    </w:p>
    <w:p>
      <w:pPr>
        <w:spacing w:after="108" w:line="276"/>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our reproduction of the Hagan classifier, close to the 19.7% the authors report in their Table 7 (the small difference reflects grid resolution and analysis extent), against 14.0% under the canopy-height model and 7.8% under TreeMap, a 2.5- to 2.8-fold range. Spatially, the Hagan and canopy-height maps overlap on only about 21% of the hectares either one flags (Cohen's kappa 0.21); across all three methods, only 21% of the flagged footprint is agreed by all three, and more than half is flagged by a single method (Table 2; Fig. 3). Part of any pixel-level disagreement reflects geolocation and co-registration error among the products rather than true classification difference: spaceborne GEDI footprints alone carry a systematic geolocation error on the order of 10 m (Shannon et al. 2024), and airborne LiDAR and NAIP-derived products are not free of positional error either. This is one reason we emphasize the disagreement in total amount, which is insensitive to position; aggregate the comparison to 8-km hexagons, where such error averages out (Appendix S1); and treat the design-based FIA estimate, which carries no map geolocation error at all, as the reference (Section 5).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(built on a noisier, GEDI-calibrated product) and the TreeMap imputation are themselves proxies, and TreeMap imputation smooths rare classes, so its area (computed at native 30 m resolution) is best read as a lower bound and its pixel-level agreement is weak. The point is not that any one map is correct but that credible operationalizations of the same target disagree by this much, which is the property a single-map prioritization must reckon with.</w:t>
      </w:r>
    </w:p>
    <w:p>
      <w:pPr>
        <w:spacing w:after="108" w:line="276"/>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3).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108" w:line="276"/>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 The authors themselves emphasize that definitions vary and materially change the result, citing a landscape where relaxing the old-growth definition moved the estimate from 2.7% to 15%; the cross-method spread we document is that same sensitivity expressed spatially.</w:t>
      </w:r>
    </w:p>
    <w:p>
      <w:pPr>
        <w:keepNext/>
        <w:spacing w:after="60" w:before="160"/>
      </w:pPr>
      <w:r>
        <w:rPr>
          <w:i/>
          <w:iCs/>
          <w:color w:val="555555"/>
          <w:sz w:val="18"/>
          <w:szCs w:val="18"/>
        </w:rPr>
        <w:t xml:space="preserve">Table 2. Wall-to-wall any-LSOG area and pairwise agreement across three independent maps over the study area. The Hagan any-LSOG area is our reproduction (21.9%); the authors report 19.7% in their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rP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Jaccard vs Hagan</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0.03</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r>
    </w:tbl>
    <w:p>
      <w:pPr>
        <w:keepNext/>
        <w:spacing w:after="40" w:before="120"/>
        <w:jc w:val="center"/>
      </w:pPr>
      <w:r>
        <w:drawing>
          <wp:inline distT="0" distB="0" distL="0" distR="0">
            <wp:extent cx="3657600" cy="4838700"/>
            <wp:effectExtent t="0" r="0" b="0" l="0"/>
            <wp:docPr id="1" name="Fig. 3. Cross-map disagreement. (a) any-LSOG area by method (2.8-fold range); (b) the same 24-km window classified by each method; (c) only 21% of the flagged footprint is agreed by all three; (d) overlap of the top-priority protected hectares between maps (Jaccard 0.16-0.30)." descr="Fig. 3. Cross-map disagreement. (a) any-LSOG area by method (2.8-fold range); (b) the same 24-km window classified by each method; (c) only 21% of the flagged footprint is agreed by all three; (d) overlap of the top-priority protected hectares between maps (Jaccard 0.16-0.30)." title="Fig. 3.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57600" cy="4838700"/>
                    </a:xfrm>
                    <a:prstGeom prst="rect">
                      <a:avLst/>
                    </a:prstGeom>
                  </pic:spPr>
                </pic:pic>
              </a:graphicData>
            </a:graphic>
          </wp:inline>
        </w:drawing>
      </w:r>
    </w:p>
    <w:p>
      <w:pPr>
        <w:spacing w:after="160" w:before="60"/>
      </w:pPr>
      <w:r>
        <w:rPr>
          <w:i/>
          <w:iCs/>
          <w:color w:val="555555"/>
          <w:sz w:val="18"/>
          <w:szCs w:val="18"/>
        </w:rPr>
        <w:t xml:space="preserve">Fig. 3. Cross-map disagreement. (a) any-LSOG area by method (2.8-fold range); (b) the same 24-km window classified by each method; (c) only 21% of the flagged footprint is agreed by all three; (d) overlap of the top-priority protected hectares between maps (Jaccard 0.16-0.30).</w:t>
      </w:r>
    </w:p>
    <w:p>
      <w:pPr>
        <w:pStyle w:val="Heading1"/>
        <w:keepNext/>
      </w:pPr>
      <w:r>
        <w:t xml:space="preserve">4.  The canopy signal captures big trees better than old-growth structure</w:t>
      </w:r>
    </w:p>
    <w:p>
      <w:pPr>
        <w:spacing w:after="108" w:line="276"/>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The original authors are themselves candid that airborne LiDAR cannot reliably separate late-successional from old-growth structure; our result quantifies the reason, namely that the dead-wood component central to that distinction is the attribute least predictable from canopy metrics. The authors anticipate exactly this, proposing that future work add metrics such as canopy-gap density and large downed-log density to better separate late-successional from true old-growth forest; our analysis quantifies why those additions are needed.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keys on a signal that need not coincide with a structural or age-based definition. The resulting errors run in both directions rather than as a uniform bias: in aggregate the mapped class is broader than ground-defined old forest, yet independent field truthing now underway indicates local under-classification in parts of western Maine. Either way the mapped class and a structural or age-based definition diverge, consistent with the among-method spread in Section 3, which is the property a single-map prioritization must reckon with.</w:t>
      </w:r>
    </w:p>
    <w:p>
      <w:pPr>
        <w:keepNext/>
        <w:spacing w:after="60" w:before="160"/>
      </w:pPr>
      <w:r>
        <w:rPr>
          <w:i/>
          <w:iCs/>
          <w:color w:val="555555"/>
          <w:sz w:val="18"/>
          <w:szCs w:val="18"/>
        </w:rPr>
        <w:t xml:space="preserve">Table 3. Cross-validated R-squared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rPr>
          <w:cantSplit/>
        </w:trP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CV R-squared from 8 LiDAR metrics</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0.68</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0.59</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0.51</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0.24</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0.20</w:t>
            </w:r>
          </w:p>
        </w:tc>
      </w:tr>
    </w:tbl>
    <w:p>
      <w:pPr>
        <w:pStyle w:val="Heading1"/>
        <w:keepNext/>
      </w:pPr>
      <w:r>
        <w:t xml:space="preserve">5.  Ground-based inventory: the estimate, with the interval the map omits</w:t>
      </w:r>
    </w:p>
    <w:p>
      <w:pPr>
        <w:spacing w:after="108" w:line="276"/>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same holds across age thresholds (Fig. 5), where the level depends on the criterion but the increasing direction does not. The point estimate for older forest brackets the published LS+OGL figure of 3.9%, which is reassuring, but the original analysis reported that figure without an interval; the ground-based gold standard places it in a range of roughly 3.3 to 4.6%, and that uncertainty is exactly what a $200-300 million prioritization should carry.</w:t>
      </w:r>
    </w:p>
    <w:p>
      <w:pPr>
        <w:spacing w:after="108" w:line="276"/>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loss criterion is also broad: a mapped hectare is counted as lost when Global Forest Watch records more than 30% canopy removal in a 30 m pixel, which includes the partial and low-grade harvests that, as the authors note for public lands, often retain late-successional structure, so the metric conflates partial harvest with stand conversion. The original authors are explicit about this asymmetry: they state they had no way in this study to estimate the amount and rate of forest growing into an LSOG condition, and they note that on federal Pacific Northwest forests older forest increased over 1993-2017 because ingrowth exceeded harvest (Hagan et al. 2026). Our design-based series supplies the side their data could not, and it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4);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w:t>
      </w:r>
    </w:p>
    <w:p>
      <w:pPr>
        <w:spacing w:after="108" w:line="276"/>
        <w:jc w:val="both"/>
      </w:pPr>
      <w:r>
        <w:rPr>
          <w:sz w:val="22"/>
          <w:szCs w:val="22"/>
        </w:rPr>
        <w:t xml:space="preserve">Finally, the original analysis does not benchmark its map against any independent product; although it references GEDI-based structural work (de Conto et al. 2024), the publicly available spaceborne canopy-height products covering the study area (Potapov et al. 2021; Lang et al. 2023) are neither cited nor used as a cross-check. They are global, repeatable, and free, but they are also coarser and noisier than airborne LiDAR or a NAIP-derived canopy height model, with documented accuracy limitations (Moudry et al. 2024). We therefore use the canopy-height product only as one independent operationalization among several to demonstrate disagreement (Section 3), never as a reference or a better map. The unbiased reference throughout this Comment is the design-based FIA estimate, not any remote-sensing product; the cross-map comparison establishes that credible alternatives disagree, and the FIA inventory establishes the ground-based amount and its interval.</w:t>
      </w:r>
    </w:p>
    <w:p>
      <w:pPr>
        <w:keepNext/>
        <w:spacing w:after="60" w:before="160"/>
      </w:pPr>
      <w:r>
        <w:rPr>
          <w:i/>
          <w:iCs/>
          <w:color w:val="555555"/>
          <w:sz w:val="18"/>
          <w:szCs w:val="18"/>
        </w:rPr>
        <w:t xml:space="preserve">Table 4. FIA design-based older-forest area (2024) with 95% CI, statewide and in the northern timberland units, with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 %/yr [95% CI]</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+0.19 [0.15, 0.23]</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+0.065 [0.054, 0.075]</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+0.000 [-0.005, 0.006]</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+0.17 [0.15, 0.18]</w:t>
            </w:r>
          </w:p>
        </w:tc>
      </w:tr>
    </w:tbl>
    <w:p>
      <w:pPr>
        <w:keepNext/>
        <w:spacing w:after="40" w:before="120"/>
        <w:jc w:val="center"/>
      </w:pPr>
      <w:r>
        <w:drawing>
          <wp:inline distT="0" distB="0" distL="0" distR="0">
            <wp:extent cx="2857500" cy="4619625"/>
            <wp:effectExtent t="0" r="0" b="0" l="0"/>
            <wp:docPr id="1" name="Fig. 4.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descr="Fig. 4.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title="Fig. 4.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4619625"/>
                    </a:xfrm>
                    <a:prstGeom prst="rect">
                      <a:avLst/>
                    </a:prstGeom>
                  </pic:spPr>
                </pic:pic>
              </a:graphicData>
            </a:graphic>
          </wp:inline>
        </w:drawing>
      </w:r>
    </w:p>
    <w:p>
      <w:pPr>
        <w:spacing w:after="160" w:before="60"/>
      </w:pPr>
      <w:r>
        <w:rPr>
          <w:i/>
          <w:iCs/>
          <w:color w:val="555555"/>
          <w:sz w:val="18"/>
          <w:szCs w:val="18"/>
        </w:rPr>
        <w:t xml:space="preserve">Fig. 4.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w:t>
      </w:r>
    </w:p>
    <w:p>
      <w:pPr>
        <w:keepNext/>
        <w:spacing w:after="40" w:before="120"/>
        <w:jc w:val="center"/>
      </w:pPr>
      <w:r>
        <w:drawing>
          <wp:inline distT="0" distB="0" distL="0" distR="0">
            <wp:extent cx="4343400" cy="2895600"/>
            <wp:effectExtent t="0" r="0" b="0" l="0"/>
            <wp:docPr id="1" name="Fig. 5. Older forest over time in Maine under four ground definitions and thresholds (FIA design-based): stand age &gt;= 100, &gt;= 120, and &gt;= 150 yr, and large-tree basal area &gt;= 30 ft-sq/ac, each with a 95% band. The level depends on the criterion chosen, but every definition increases over 2003-2024." descr="Fig. 5. Older forest over time in Maine under four ground definitions and thresholds (FIA design-based): stand age &gt;= 100, &gt;= 120, and &gt;= 150 yr, and large-tree basal area &gt;= 30 ft-sq/ac, each with a 95% band. The level depends on the criterion chosen, but every definition increases over 2003-2024." title="Fig. 5. Older forest over time in Maine under four ground definitions and thresholds (FIA design-based): stand age &gt;= 100, &gt;= 120, and &gt;= 150 yr, and large-tree basal area &gt;= 30 ft-sq/ac, each with a 95% band. The level depends on the criterion chosen, but every definition increases over 2003-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43400" cy="2895600"/>
                    </a:xfrm>
                    <a:prstGeom prst="rect">
                      <a:avLst/>
                    </a:prstGeom>
                  </pic:spPr>
                </pic:pic>
              </a:graphicData>
            </a:graphic>
          </wp:inline>
        </w:drawing>
      </w:r>
    </w:p>
    <w:p>
      <w:pPr>
        <w:spacing w:after="160" w:before="60"/>
      </w:pPr>
      <w:r>
        <w:rPr>
          <w:i/>
          <w:iCs/>
          <w:color w:val="555555"/>
          <w:sz w:val="18"/>
          <w:szCs w:val="18"/>
        </w:rPr>
        <w:t xml:space="preserve">Fig. 5. Older forest over time in Maine under four ground definitions and thresholds (FIA design-based): stand age &gt;= 100, &gt;= 120, and &gt;= 150 yr, and large-tree basal area &gt;= 30 ft-sq/ac, each with a 95% band. The level depends on the criterion chosen, but every definition increases over 2003-2024.</w:t>
      </w:r>
    </w:p>
    <w:p>
      <w:pPr>
        <w:pStyle w:val="Heading1"/>
        <w:keepNext/>
      </w:pPr>
      <w:r>
        <w:t xml:space="preserve">6.  Beyond Maine: increasing older forest and limited existing protection</w:t>
      </w:r>
    </w:p>
    <w:p>
      <w:pPr>
        <w:spacing w:after="108" w:line="276"/>
        <w:jc w:val="both"/>
      </w:pPr>
      <w:r>
        <w:rPr>
          <w:sz w:val="22"/>
          <w:szCs w:val="22"/>
        </w:rPr>
        <w:t xml:space="preserve">The Maine result is not an isolate. Applying the same design-based estimator across New England, older forest is stable to increasing in every state over the FIA record, by both stand age and large-tree basal area, with none declining (Fig. 6, Table 5). The two criteria diverge sharply by geography: large-tree basal area runs from 12.5% in Maine, the most intensively managed state, to 38 to 58% in the southern New England states whose forests regrew from near-complete nineteenth-century clearing, while stand age &gt;= 120 yr stays low everywhere (about 1 to 7%). The high southern values are mature second-growth hardwood, structurally large-treed but not old growth, the big-trees-are-not-old-growth point of Section 4 at regional scale. That divergence is the definitional sensitivity of Section 3 expressed geographically: which number one reports depends as much on the criterion chosen as on the forest itself, which is the central reason a single mapped class is a fragile basis for region-wide policy.</w:t>
      </w:r>
    </w:p>
    <w:p>
      <w:pPr>
        <w:keepNext/>
        <w:spacing w:after="40" w:before="120"/>
        <w:jc w:val="center"/>
      </w:pPr>
      <w:r>
        <w:drawing>
          <wp:inline distT="0" distB="0" distL="0" distR="0">
            <wp:extent cx="4457700" cy="2971800"/>
            <wp:effectExtent t="0" r="0" b="0" l="0"/>
            <wp:docPr id="1" nam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descr="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titl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2971800"/>
                    </a:xfrm>
                    <a:prstGeom prst="rect">
                      <a:avLst/>
                    </a:prstGeom>
                  </pic:spPr>
                </pic:pic>
              </a:graphicData>
            </a:graphic>
          </wp:inline>
        </w:drawing>
      </w:r>
    </w:p>
    <w:p>
      <w:pPr>
        <w:spacing w:after="160" w:before="60"/>
      </w:pPr>
      <w:r>
        <w:rPr>
          <w:i/>
          <w:iCs/>
          <w:color w:val="555555"/>
          <w:sz w:val="18"/>
          <w:szCs w:val="18"/>
        </w:rPr>
        <w:t xml:space="preserv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w:t>
      </w:r>
    </w:p>
    <w:p>
      <w:pPr>
        <w:keepNext/>
        <w:spacing w:after="60" w:before="160"/>
      </w:pPr>
      <w:r>
        <w:rPr>
          <w:i/>
          <w:iCs/>
          <w:color w:val="555555"/>
          <w:sz w:val="18"/>
          <w:szCs w:val="18"/>
        </w:rPr>
        <w:t xml:space="preserve">Table 5. Design-based older forest in New England (latest inventory year), by state, under two criteria. Both rise in every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80"/>
        <w:gridCol w:w="2880"/>
        <w:gridCol w:w="1200"/>
      </w:tblGrid>
      <w:tr>
        <w:trPr>
          <w:cantSplit/>
        </w:trPr>
        <w:tc>
          <w:tcPr>
            <w:tcW w:type="dxa" w:w="24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Stand age &gt;= 120 yr % [95% CI]</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BA % [95% CI]</w:t>
            </w:r>
          </w:p>
        </w:tc>
        <w:tc>
          <w:tcPr>
            <w:tcW w:type="dxa" w:w="1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Maine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12.5 [11.4, 13.7]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New Hampshire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1.8 [0.9, 2.6]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37.9 [34.7, 41.0]</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Vermont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1.0 [0.4, 1.6]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39.1 [35.8, 42.4]</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Massachusetts</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 [0.4, 2.5]</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56.1 [51.6, 60.7]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Connecticut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6.8 [3.8, 9.8]</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57.7 [51.6, 63.8]</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Rhode Island</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 [0.0, 3.1]</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47.0 [37.9, 56.1]</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both rising</w:t>
            </w:r>
          </w:p>
        </w:tc>
      </w:tr>
    </w:tbl>
    <w:p>
      <w:pPr>
        <w:spacing w:after="108" w:line="276"/>
        <w:jc w:val="both"/>
      </w:pPr>
      <w:r>
        <w:rPr>
          <w:sz w:val="22"/>
          <w:szCs w:val="22"/>
        </w:rPr>
        <w:t xml:space="preserve">A second question bears directly on the policy use of the map: how much older forest is already protected? Using FIA reserved status (RESERVCD, the legal withholding of land from harvest, a conservative lower bound on conserved area because it excludes working easements that permit some cutting), only 11.9% [5.9, 17.9] of Maine older forest (stand age &gt;= 120 yr) is formally reserved, and essentially all of it is on public land; of the broader large-tree structural resource only 5.7% [3.3, 8.1] is reserved (Table 6). Older forest is overwhelmingly private (77% by age, 85% by structure) and almost entirely outside formal protection. The resource a large acquisition program would target is therefore mostly private working forest, the setting in which the map's accuracy, and the owner-by-owner uncertainty documented above, matter most before money moves. A finer split of protection by mechanism (fee versus easement) would draw on the Protected Areas Database; the design-based shares here establish the headline that the great majority of older forest is private and unprotected.</w:t>
      </w:r>
    </w:p>
    <w:p>
      <w:pPr>
        <w:keepNext/>
        <w:spacing w:after="60" w:before="160"/>
      </w:pPr>
      <w:r>
        <w:rPr>
          <w:i/>
          <w:iCs/>
          <w:color w:val="555555"/>
          <w:sz w:val="18"/>
          <w:szCs w:val="18"/>
        </w:rPr>
        <w:t xml:space="preserve">Table 6. Share of Maine older forest formally reserved (FIA RESERVCD, a conservative lower bound on conserved area) and its ownership, design-based with 95% CI. Reserved older forest is almost entirely public; private older forest is essentially unreserved (below the sampling detection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Share of older forest that is ...</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Older forest (age &gt;= 120 yr)</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forest (&gt;=16 in)</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reserved (protected)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11.9% [5.9, 17.9]</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 [3.3, 8.1]</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private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77.0% [61.8, 92.3]</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84.6% [76.1, 93.2]</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public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23.0% [15.1, 30.8]</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15.4% [11.8, 18.9]</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private AND reserved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r>
    </w:tbl>
    <w:p>
      <w:pPr>
        <w:pStyle w:val="Heading1"/>
        <w:keepNext/>
      </w:pPr>
      <w:r>
        <w:t xml:space="preserve">7.  A demonstrated prototype: an ensemble agreement score and an uncertainty layer</w:t>
      </w:r>
    </w:p>
    <w:p>
      <w:pPr>
        <w:spacing w:after="108" w:line="276"/>
        <w:jc w:val="both"/>
      </w:pPr>
      <w:r>
        <w:rPr>
          <w:sz w:val="22"/>
          <w:szCs w:val="22"/>
        </w:rPr>
        <w:t xml:space="preserve">The recommendation to replace a single map with an ensemble and an explicit uncertainty layer is not hypothetical; we demonstrate it with the products already in hand. Combining the three independent operationalizations into a per-pixel ensemble LSOG membership, and taking the cross-method standard deviation as a per-pixel uncertainty, yields an unweighted agreement (membership) surface and a companion uncertainty layer (Fig. 7, aggregated to 8 km hexagons for display; the per-pixel 100 m rasters are archived). Because two of the three inputs are binary class indicators and one is continuous, this surface is an agreement score rather than a calibrated probability, which is sufficient for the purpose of locating where the methods concur. The uncertainty is not uniform: cross-method disagreement per hexagon averages 0.22 (max minus min agreement), with an interquartile range of 0.19 and reaching 0.43 at the 90th percentile, and it is highest where the agreement score is intermediate, the transitioning envelope that drives the cost. A bivariate view (Supporting Information) separates the small high-agreement, low-uncertainty core, where the methods agree and acquisition would be defensible, from the much larger high-uncertainty zone where a single map should not by itself move a purchase. Producing this required only the three existing maps; the same ensemble could be standardized and extended across New England at low cost, letting a program prioritize by confidence rather than by one classifier, and converting the recommendation of Section 9 into routine practice.</w:t>
      </w:r>
    </w:p>
    <w:p>
      <w:pPr>
        <w:keepNext/>
        <w:spacing w:after="40" w:before="120"/>
        <w:jc w:val="center"/>
      </w:pPr>
      <w:r>
        <w:drawing>
          <wp:inline distT="0" distB="0" distL="0" distR="0">
            <wp:extent cx="2495550" cy="4343400"/>
            <wp:effectExtent t="0" r="0" b="0" l="0"/>
            <wp:docPr id="1" name="Fig. 7. A prototype ensemble agreement score (a) and uncertainty layer (b) for the Maine study area, aggregated to 8 km hexagons. The agreement score is the unweighted mean of the three method memberships (two binary, one continuous), not a calibrated probability; uncertainty is their standard deviation. Disagreement concentrates in the central and northern townships." descr="Fig. 7. A prototype ensemble agreement score (a) and uncertainty layer (b) for the Maine study area, aggregated to 8 km hexagons. The agreement score is the unweighted mean of the three method memberships (two binary, one continuous), not a calibrated probability; uncertainty is their standard deviation. Disagreement concentrates in the central and northern townships." title="Fig. 7. A prototype ensemble agreement score (a) and uncertainty layer (b) for the Maine study area, aggregated to 8 km hexagons. The agreement score is the unweighted mean of the three method memberships (two binary, one continuous), not a calibrated probability; uncertainty is their standard deviation. Disagreement concentrates in the central and northern tow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95550" cy="4343400"/>
                    </a:xfrm>
                    <a:prstGeom prst="rect">
                      <a:avLst/>
                    </a:prstGeom>
                  </pic:spPr>
                </pic:pic>
              </a:graphicData>
            </a:graphic>
          </wp:inline>
        </w:drawing>
      </w:r>
    </w:p>
    <w:p>
      <w:pPr>
        <w:spacing w:after="160" w:before="60"/>
      </w:pPr>
      <w:r>
        <w:rPr>
          <w:i/>
          <w:iCs/>
          <w:color w:val="555555"/>
          <w:sz w:val="18"/>
          <w:szCs w:val="18"/>
        </w:rPr>
        <w:t xml:space="preserve">Fig. 7. A prototype ensemble agreement score (a) and uncertainty layer (b) for the Maine study area, aggregated to 8 km hexagons. The agreement score is the unweighted mean of the three method memberships (two binary, one continuous), not a calibrated probability; uncertainty is their standard deviation. Disagreement concentrates in the central and northern townships.</w:t>
      </w:r>
    </w:p>
    <w:p>
      <w:pPr>
        <w:spacing w:after="108" w:line="276"/>
        <w:jc w:val="both"/>
      </w:pPr>
      <w:r>
        <w:rPr>
          <w:sz w:val="22"/>
          <w:szCs w:val="22"/>
        </w:rPr>
        <w:t xml:space="preserve">The same ensemble extends directly to all of New England (Fig. 8). Because no trustworthy fine-resolution LSOG map exists region-wide and TreeMap is an imputed product, we summarize the ensemble at the hexagon scale rather than imply pixel-level precision: each 25 km hexagon carries the mean of three transparent ground definitions taken from the FIA condition imputed to each pixel (structural class, stand age &gt;= 120 yr, and large-tree basal area), with their standard deviation as the uncertainty. Across the region the three definitions rarely coincide: only 8.9% of forested area reaches high agreement (two or more definitions), just 0.7% satisfies all three, and 24% of the area carries high uncertainty (cross-definition SD &gt;= 0.4). This is the definitional ambiguity of Section 3 made regional. It is also cross-consistent with the design-based state estimates of Section 6, and it is exactly the layer a prioritization should consult, mapping by confidence and flagging the high-uncertainty majority, before any single classification drives acquisition. We present it hexagonally on purpose: finer resolution would overstate what an imputed product can support.</w:t>
      </w:r>
    </w:p>
    <w:p>
      <w:pPr>
        <w:keepNext/>
        <w:spacing w:after="40" w:before="120"/>
        <w:jc w:val="center"/>
      </w:pPr>
      <w:r>
        <w:drawing>
          <wp:inline distT="0" distB="0" distL="0" distR="0">
            <wp:extent cx="2857500" cy="3895725"/>
            <wp:effectExtent t="0" r="0" b="0" l="0"/>
            <wp:docPr id="1" name="Fig. 8.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descr="Fig. 8.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title="Fig. 8.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3895725"/>
                    </a:xfrm>
                    <a:prstGeom prst="rect">
                      <a:avLst/>
                    </a:prstGeom>
                  </pic:spPr>
                </pic:pic>
              </a:graphicData>
            </a:graphic>
          </wp:inline>
        </w:drawing>
      </w:r>
    </w:p>
    <w:p>
      <w:pPr>
        <w:spacing w:after="160" w:before="60"/>
      </w:pPr>
      <w:r>
        <w:rPr>
          <w:i/>
          <w:iCs/>
          <w:color w:val="555555"/>
          <w:sz w:val="18"/>
          <w:szCs w:val="18"/>
        </w:rPr>
        <w:t xml:space="preserve">Fig. 8.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w:t>
      </w:r>
    </w:p>
    <w:p>
      <w:pPr>
        <w:pStyle w:val="Heading1"/>
        <w:keepNext/>
      </w:pPr>
      <w:r>
        <w:t xml:space="preserve">8.  Implications</w:t>
      </w:r>
    </w:p>
    <w:p>
      <w:pPr>
        <w:spacing w:after="108" w:line="276"/>
        <w:jc w:val="both"/>
      </w:pPr>
      <w:r>
        <w:rPr>
          <w:sz w:val="22"/>
          <w:szCs w:val="22"/>
        </w:rPr>
        <w:t xml:space="preserve">None of the above argues against mapping LSOG with LiDAR, nor against conserving older forest in Maine, which we support. Read as what it measures, tall, large-tree forest, the classification is a valuable screening tool; read as a map of old-growth-grade forest to be protected at high cost, it tends to overstate the strict resource, because the bulk of its mapped area is the transitioning class rather than late-successional or old growth, even though local errors run in both directions. The risk lies less in the map than in its use: without cross-comparison against an independent product, field verification, or assessment over time, a screening product can carry unintended consequences into acquisition and policy. The exposure is sharpest for the isolated single-hectare patches the map is designed to find: at 1 ha, classifications fall on stand boundaries and mixed conditions, which the authors attribute part of their finer-class error to, so prioritizing scattered 1-ha parcels concentrates spending where the map is least reliable. It follows that a single classification, however well trained, is not a sufficient basis for parcel-level expenditures of the magnitude now contemplated. Three practices would close the gap, and each addresses something the original analysis did not do. First, benchmark the map against an unbiased design-based inventory: the FIA program provides a probability sample of the same forest, and the design-based estimate of older forest, 3.9% [3.3, 4.6], is the natural reference the map can be checked against. Second, do not rely on a single remote-sensing product; cross-compare against at least one independent map and field-verify at the parcel scale before prioritization, as the authors themselves recommend for management decisions, using their rapid field protocol (Shamgochian et al. 2025). Third, report accuracy and uncertainty for every quantity taken from the map, as a range across methods and with the sampling interval, rather than as single numbers. A fourth, related point: where a rate of loss is invoked, the harvest flux and the net stock should be distinguished, because they point in opposite directions here. These practices matter most where a map underwrites cost estimates and prioritization at the scale of the recent statewide assessment (Thompson et al. 2026), whose $200-300 million estimate is computed parcel by parcel from the mapped patches and therefore inherits the map's accuracy and uncertainty directly. The Hagan et al. map is a useful and reproducible product; our point is that its usefulness for high-stakes allocation depends on the cross-map accuracy assessment and uncertainty characterization that should now accompany it.</w:t>
      </w:r>
    </w:p>
    <w:p>
      <w:pPr>
        <w:pStyle w:val="Heading1"/>
        <w:keepNext/>
      </w:pPr>
      <w:r>
        <w:t xml:space="preserve">9.  Recommendations for future research</w:t>
      </w:r>
    </w:p>
    <w:p>
      <w:pPr>
        <w:spacing w:after="108" w:line="276"/>
        <w:jc w:val="both"/>
      </w:pPr>
      <w:r>
        <w:rPr>
          <w:sz w:val="22"/>
          <w:szCs w:val="22"/>
        </w:rPr>
        <w:t xml:space="preserve">Several concrete steps would put LSOG mapping in Maine on firmer footing for the decisions now riding on it. First, conduct a formal accuracy assessment of the airborne map against an independent probability sample, reporting a full confusion matrix and class-wise user and producer accuracy by owner group rather than out-of-bag accuracy alone; the FIA plot network is a ready reference. Second, add structural predictors that capture the attributes canopy metrics miss, in particular dead wood and canopy gaps (canopy-gap density, large downed-log density, and multi-return or full-waveform metrics), to separate late-successional from true old-growth forest, as the original authors propose. Third, estimate ingrowth directly, through repeat LiDAR or a NAIP and GEDI time series paired with FIA growth-removal-mortality estimation, so that loss and gain are reported as a net change rather than a one-sided flux. Fourth, propagate geolocation and co-registration error explicitly, for example with the Bayesian correction of Shannon et al. (2024), before any pixel-level overlay or parcel ranking. Fifth, move from a single map to an ensemble of credible operationalizations, reporting per-pixel agreement and an uncertainty layer so that prioritization is driven by confidence rather than by one classifier; we prototype exactly this in Section 7 and it could be standardized region-wide. Sixth, before acquisition, field-verify a probability sample of the prioritized parcels using the published rapid protocol (Shamgochian et al. 2025) and report the sensitivity of the result to the LSOG definition used. None of these is beyond the reach of the groups already working in this landscape, and several could be done collaboratively.</w:t>
      </w:r>
    </w:p>
    <w:p>
      <w:pPr>
        <w:pStyle w:val="Heading1"/>
        <w:keepNext/>
      </w:pPr>
      <w:r>
        <w:t xml:space="preserve">Data and code availability</w:t>
      </w:r>
    </w:p>
    <w:p>
      <w:pPr>
        <w:spacing w:after="108" w:line="276"/>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keepNext/>
      </w:pPr>
      <w:r>
        <w:t xml:space="preserve">References</w:t>
      </w:r>
    </w:p>
    <w:p>
      <w:pPr>
        <w:spacing w:after="120"/>
        <w:ind w:left="360" w:hanging="360"/>
      </w:pPr>
      <w:r>
        <w:rPr>
          <w:sz w:val="20"/>
          <w:szCs w:val="20"/>
        </w:rPr>
        <w:t xml:space="preserve">Barnett, K., G. H. Aplet, and R. T. Belote. 2023. Classifying, inventorying, and mapping mature and old-growth forests in the United States. Frontiers in Forests and Global Change 5:1070372. https://doi.org/10.3389/ffgc.2022.1070372</w:t>
      </w:r>
    </w:p>
    <w:p>
      <w:pPr>
        <w:spacing w:after="120"/>
        <w:ind w:left="360" w:hanging="360"/>
      </w:pPr>
      <w:r>
        <w:rPr>
          <w:sz w:val="20"/>
          <w:szCs w:val="20"/>
        </w:rPr>
        <w:t xml:space="preserve">Box, G. E. P. 1976. Science and statistics. Journal of the American Statistical Association 71:791-799.</w:t>
      </w:r>
    </w:p>
    <w:p>
      <w:pPr>
        <w:spacing w:after="120"/>
        <w:ind w:left="360" w:hanging="360"/>
      </w:pPr>
      <w:r>
        <w:rPr>
          <w:sz w:val="20"/>
          <w:szCs w:val="20"/>
        </w:rPr>
        <w:t xml:space="preserve">de Conto, T., J. Armston, and R. Dubayah. 2024. Characterizing the structural complexity of the Earth's forests with spaceborne lidar. Nature Communications 15:8116. https://doi.org/10.1038/s41467-024-52468-2</w:t>
      </w:r>
    </w:p>
    <w:p>
      <w:pPr>
        <w:spacing w:after="120"/>
        <w:ind w:left="360" w:hanging="360"/>
      </w:pPr>
      <w:r>
        <w:rPr>
          <w:sz w:val="20"/>
          <w:szCs w:val="20"/>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120"/>
        <w:ind w:left="360" w:hanging="360"/>
      </w:pPr>
      <w:r>
        <w:rPr>
          <w:sz w:val="20"/>
          <w:szCs w:val="20"/>
        </w:rPr>
        <w:t xml:space="preserve">Hagan, J. M., B. Shamgochian, M. M. L. Taylor, and J. M. Reed. 2026. Using LiDAR to quantify, map, and conserve late-successional and old-growth forest in Maine, USA. Ecosphere 17:e70670.</w:t>
      </w:r>
    </w:p>
    <w:p>
      <w:pPr>
        <w:spacing w:after="120"/>
        <w:ind w:left="360" w:hanging="360"/>
      </w:pPr>
      <w:r>
        <w:rPr>
          <w:sz w:val="20"/>
          <w:szCs w:val="20"/>
        </w:rPr>
        <w:t xml:space="preserve">Lang, N., W. Jetz, K. Schindler, and J. D. Wegner. 2023. A high-resolution canopy height model of the Earth. Nature Ecology &amp; Evolution 7:1778-1789. https://doi.org/10.1038/s41559-023-02206-6</w:t>
      </w:r>
    </w:p>
    <w:p>
      <w:pPr>
        <w:spacing w:after="120"/>
        <w:ind w:left="360" w:hanging="360"/>
      </w:pPr>
      <w:r>
        <w:rPr>
          <w:sz w:val="20"/>
          <w:szCs w:val="20"/>
        </w:rPr>
        <w:t xml:space="preserve">Moudry, V., et al. 2024. Comparison of three global canopy height maps and their applicability to biodiversity modeling: accuracy issues revealed. Ecosphere 15:e70026.</w:t>
      </w:r>
    </w:p>
    <w:p>
      <w:pPr>
        <w:spacing w:after="120"/>
        <w:ind w:left="360" w:hanging="360"/>
      </w:pPr>
      <w:r>
        <w:rPr>
          <w:sz w:val="20"/>
          <w:szCs w:val="20"/>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120"/>
        <w:ind w:left="360" w:hanging="360"/>
      </w:pPr>
      <w:r>
        <w:rPr>
          <w:sz w:val="20"/>
          <w:szCs w:val="20"/>
        </w:rPr>
        <w:t xml:space="preserve">Potapov, P., et al. 2021. Mapping global forest canopy height through the fusion of GEDI and Landsat data. Remote Sensing of Environment 253:112165.</w:t>
      </w:r>
    </w:p>
    <w:p>
      <w:pPr>
        <w:spacing w:after="120"/>
        <w:ind w:left="360" w:hanging="360"/>
      </w:pPr>
      <w:r>
        <w:rPr>
          <w:sz w:val="20"/>
          <w:szCs w:val="20"/>
        </w:rPr>
        <w:t xml:space="preserve">Shamgochian, B., J. Hagan, M. Taylor, and M. Reed. 2025. LSOG Rapid Assessment Protocol (RAP) for Maine (v1.0). Our Climate Common Report, Georgetown, Maine.</w:t>
      </w:r>
    </w:p>
    <w:p>
      <w:pPr>
        <w:spacing w:after="120"/>
        <w:ind w:left="360" w:hanging="360"/>
      </w:pPr>
      <w:r>
        <w:rPr>
          <w:sz w:val="20"/>
          <w:szCs w:val="20"/>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 https://doi.org/10.1002/env.2840</w:t>
      </w:r>
    </w:p>
    <w:p>
      <w:pPr>
        <w:spacing w:after="120"/>
        <w:ind w:left="360" w:hanging="360"/>
      </w:pPr>
      <w:r>
        <w:rPr>
          <w:sz w:val="20"/>
          <w:szCs w:val="20"/>
        </w:rPr>
        <w:t xml:space="preserve">Spies, T. A. 2004. Ecological concepts and diversity of old-growth forests. Journal of Forestry 102(3):14-20.</w:t>
      </w:r>
    </w:p>
    <w:p>
      <w:pPr>
        <w:spacing w:after="120"/>
        <w:ind w:left="360" w:hanging="360"/>
      </w:pPr>
      <w:r>
        <w:rPr>
          <w:sz w:val="20"/>
          <w:szCs w:val="20"/>
        </w:rPr>
        <w:t xml:space="preserve">Spracklen, B., and D. V. Spracklen. 2021. Determination of structural characteristics of old-growth forest in Ukraine using spaceborne LiDAR. Remote Sensing 13(7):1233. https://doi.org/10.3390/rs13071233</w:t>
      </w:r>
    </w:p>
    <w:p>
      <w:pPr>
        <w:spacing w:after="120"/>
        <w:ind w:left="360" w:hanging="360"/>
      </w:pPr>
      <w:r>
        <w:rPr>
          <w:sz w:val="20"/>
          <w:szCs w:val="20"/>
        </w:rPr>
        <w:t xml:space="preserve">Stanke, H., A. O. Finley, A. S. Weed, B. F. Walters, and G. M. Domke. 2020. rFIA: an R package for estimation of forest attributes with the FIA database. Environmental Modelling &amp; Software 127:104664.</w:t>
      </w:r>
    </w:p>
    <w:p>
      <w:pPr>
        <w:spacing w:after="120"/>
        <w:ind w:left="360" w:hanging="360"/>
      </w:pPr>
      <w:r>
        <w:rPr>
          <w:sz w:val="20"/>
          <w:szCs w:val="20"/>
        </w:rPr>
        <w:t xml:space="preserve">Thompson, J. R., A. Daigneault, J. Plisinski, I. Moon, and J. Norton. 2026. Pathways for protecting Maine's remaining late-successional and old-growth forests. Property and Environment Research Center.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Comment on Hagan et al. (2026),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54" w:before="12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7fdce960ead4b4f94bebd4b966ef8c9ae5b5e9.png"/><Relationship Id="rId9" Type="http://schemas.openxmlformats.org/officeDocument/2006/relationships/image" Target="media/d8e52e2f54e2f8eecaa06e1c5e76afae102d3fd0.png"/><Relationship Id="rId10" Type="http://schemas.openxmlformats.org/officeDocument/2006/relationships/image" Target="media/b9c72d78270b0db929ba30b2c65a1ae8c2d892d4.png"/><Relationship Id="rId11" Type="http://schemas.openxmlformats.org/officeDocument/2006/relationships/image" Target="media/0322ace7fd331ee5b4f2a14833d9dda2a443552d.png"/><Relationship Id="rId12" Type="http://schemas.openxmlformats.org/officeDocument/2006/relationships/image" Target="media/59bfe01ffbf65dafdfb3cead38dc9d59c788928e.png"/><Relationship Id="rId13" Type="http://schemas.openxmlformats.org/officeDocument/2006/relationships/image" Target="media/87d552fefd7322d6e179521bab0577e781439de1.png"/><Relationship Id="rId14" Type="http://schemas.openxmlformats.org/officeDocument/2006/relationships/image" Target="media/cd80b8d3a2ca93b5d5c630edf2e4fc30e5b354ef.png"/><Relationship Id="rId15" Type="http://schemas.openxmlformats.org/officeDocument/2006/relationships/image" Target="media/da083765b469a8b7ad8fb3cfe33940a62c3b9b1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2026-06-11T10:54:36.106Z</dcterms:created>
  <dcterms:modified xsi:type="dcterms:W3CDTF">2026-06-11T10:54:36.106Z</dcterms:modified>
</cp:coreProperties>
</file>

<file path=docProps/custom.xml><?xml version="1.0" encoding="utf-8"?>
<Properties xmlns="http://schemas.openxmlformats.org/officeDocument/2006/custom-properties" xmlns:vt="http://schemas.openxmlformats.org/officeDocument/2006/docPropsVTypes"/>
</file>