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A3D28"/>
          <w:sz w:val="30"/>
          <w:szCs w:val="30"/>
        </w:rPr>
        <w:t xml:space="preserve">Supporting Information</w:t>
      </w:r>
    </w:p>
    <w:p>
      <w:pPr>
        <w:spacing w:after="240"/>
      </w:pPr>
      <w:r>
        <w:rPr>
          <w:i/>
          <w:iCs/>
          <w:color w:val="555555"/>
          <w:sz w:val="20"/>
          <w:szCs w:val="20"/>
        </w:rPr>
        <w:t xml:space="preserve">for: Using LiDAR to quantify, map, and conserve late-successional and old-growth forest in Maine, USA: Comment (A. R. Weiskittel).</w:t>
      </w:r>
    </w:p>
    <w:p>
      <w:pPr>
        <w:pStyle w:val="Heading1"/>
      </w:pPr>
      <w:r>
        <w:t xml:space="preserve">Appendix S1. Methods</w:t>
      </w:r>
    </w:p>
    <w:p>
      <w:pPr>
        <w:spacing w:after="140" w:line="280"/>
        <w:jc w:val="both"/>
      </w:pPr>
      <w:r>
        <w:rPr>
          <w:sz w:val="21"/>
          <w:szCs w:val="21"/>
        </w:rPr>
        <w:t xml:space="preserve">Reproduction. The published random forest was refit from the archived 463-plot training data (8 LiDAR canopy metrics) with mtry=2 and 500 trees, reproducing the binary out-of-bag accuracy (94.2% vs 94.1%) and the top predictor. The model was applied to the archived per-hectare LiDAR metrics for the full area of interest (4,282,675 ha) to reproduce the wall-to-wall classification, and a 20-seed ensemble bounded the area estimate and the cross-validation agreement (Table S3).</w:t>
      </w:r>
    </w:p>
    <w:p>
      <w:pPr>
        <w:spacing w:after="140" w:line="280"/>
        <w:jc w:val="both"/>
      </w:pPr>
      <w:r>
        <w:rPr>
          <w:sz w:val="21"/>
          <w:szCs w:val="21"/>
        </w:rPr>
        <w:t xml:space="preserve">Cross-map comparison. Three wall-to-wall classifications were placed on a common 100 m grid: the reproduced Hagan classifier; a logistic model of the FIA field class on Potapov (GEDI-calibrated) canopy height (calibrated to the FIA plot prevalence); and the USFS TreeMap 2022 imputation of FIA structural class. Pairwise Cohen kappa and Jaccard, three-way concordance, and the overlap of top-priority protected sets were computed.</w:t>
      </w:r>
    </w:p>
    <w:p>
      <w:pPr>
        <w:spacing w:after="140" w:line="280"/>
        <w:jc w:val="both"/>
      </w:pPr>
      <w:r>
        <w:rPr>
          <w:sz w:val="21"/>
          <w:szCs w:val="21"/>
        </w:rPr>
        <w:t xml:space="preserve">Accuracy on the training plots. Cross-validated AUC (repeated stratified five-fold, 40 repeats) was estimated for three predictor sets (8 LiDAR metrics; canopy height only; ground structure) against three targets, under random forest and logistic regression (Table S1). The capacity of the LiDAR metrics to predict the ground structural attributes that define old growth was assessed by cross-validated R-squared (Table S6).</w:t>
      </w:r>
    </w:p>
    <w:p>
      <w:pPr>
        <w:spacing w:after="140" w:line="280"/>
        <w:jc w:val="both"/>
      </w:pPr>
      <w:r>
        <w:rPr>
          <w:sz w:val="21"/>
          <w:szCs w:val="21"/>
        </w:rPr>
        <w:t xml:space="preserve">FIA design-based estimation. Design-based older-forest area and 2003-2024 trend were estimated with rFIA (post-stratified, with FIA estimation-unit areas) over all Maine inventory years, for stand-age and large-tree basal-area domains, statewide and in the northern timberland units. Sensitivity to the large-tree threshold is in Table S2.</w:t>
      </w:r>
    </w:p>
    <w:p>
      <w:pPr>
        <w:spacing w:after="140" w:line="280"/>
        <w:jc w:val="both"/>
      </w:pPr>
      <w:r>
        <w:rPr>
          <w:sz w:val="21"/>
          <w:szCs w:val="21"/>
        </w:rPr>
        <w:t xml:space="preserve">Hex-scale summary. Each method's any-LSOG was aggregated to 8 km hexagons (n = 984) over the area of interest; the cross-method disagreement (maximum minus minimum any-LSOG fraction per hexagon) had mean 0.22 and median 0.19 (Fig. S1).</w:t>
      </w:r>
    </w:p>
    <w:p>
      <w:pPr>
        <w:spacing w:after="140" w:line="280"/>
        <w:jc w:val="both"/>
      </w:pPr>
      <w:r>
        <w:rPr>
          <w:sz w:val="21"/>
          <w:szCs w:val="21"/>
        </w:rPr>
        <w:t xml:space="preserve">Data and code. All scripts and derived products are archived at Zenodo (concept DOI 10.5281/zenodo.20614496). FIA data are from the USDA FIA DataMart; Hagan training data and code from Zenodo 10.5281/zenodo.19696494.</w:t>
      </w:r>
    </w:p>
    <w:p>
      <w:pPr>
        <w:pStyle w:val="Heading1"/>
      </w:pPr>
      <w:r>
        <w:t xml:space="preserve">Table S1. AUC by classifier and predictor set</w:t>
      </w:r>
    </w:p>
    <w:p>
      <w:pPr>
        <w:keepNext/>
        <w:spacing w:after="50" w:before="120"/>
      </w:pPr>
      <w:r>
        <w:rPr>
          <w:i/>
          <w:iCs/>
          <w:color w:val="555555"/>
          <w:sz w:val="18"/>
          <w:szCs w:val="18"/>
        </w:rPr>
        <w:t xml:space="preserve">Table S1. Cross-validated AUC (mean and 95% interval) by classifier (random forest, logistic regression), target, and predictor set. Canopy-height-only is weakest for old growth under both classifiers.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rPr>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classifier</w:t>
            </w:r>
          </w:p>
        </w:tc>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target</w:t>
            </w:r>
          </w:p>
        </w:tc>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predictors</w:t>
            </w:r>
          </w:p>
        </w:tc>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auc</w:t>
            </w:r>
          </w:p>
        </w:tc>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lo</w:t>
            </w:r>
          </w:p>
        </w:tc>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hi</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any-LSOG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LIDAR8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0.991</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any-LSOG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HEIGHT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0.99</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any-LSOG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STRUCT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0.968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0.964</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0.971</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LIDAR8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0.983</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0.981</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0.985</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HEIGHT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0.986</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STRUCT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0.977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0.972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LIDAR8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0.967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0.921</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0.991</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HEIGHT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0.912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0.893</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0.924</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STRUCT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0.973</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0.966</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0.978</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any-LSOG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LIDAR8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0.992</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any-LSOG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HEIGHT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0.984</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0.987</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any-LSOG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STRUCT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0.965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0.961</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0.968</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LIDAR8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0.989</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HEIGHT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0.977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0.974</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0.979</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STRUCT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0.969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0.966</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0.972</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LIDAR8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0.967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0.952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0.979</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HEIGHT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0.913</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0.868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0.933</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STRUCT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0.975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0.97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0.98</w:t>
            </w:r>
          </w:p>
        </w:tc>
      </w:tr>
    </w:tbl>
    <w:p>
      <w:pPr>
        <w:pStyle w:val="Heading1"/>
      </w:pPr>
      <w:r>
        <w:t xml:space="preserve">Table S2. FIA design-based sensitivity to the large-tree threshold</w:t>
      </w:r>
    </w:p>
    <w:p>
      <w:pPr>
        <w:keepNext/>
        <w:spacing w:after="50" w:before="120"/>
      </w:pPr>
      <w:r>
        <w:rPr>
          <w:i/>
          <w:iCs/>
          <w:color w:val="555555"/>
          <w:sz w:val="18"/>
          <w:szCs w:val="18"/>
        </w:rPr>
        <w:t xml:space="preserve">Table S2. Design-based older-forest area (large-tree basal area domain) at three thresholds, with 95% CI and 2003-2024 trend. The increasing trend is robust to the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cantSplit/>
        </w:trPr>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domain</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yr</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2024 %</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lo</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hi</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trend %/yr</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slope lo</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slope hi</w:t>
            </w:r>
          </w:p>
        </w:tc>
      </w:tr>
      <w:tr>
        <w:trPr>
          <w:cantSplit/>
        </w:trPr>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Large-tree BA &gt;= 20 ft2/ac</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2024</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19.516</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18.151</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20.88</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0.161</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0.136</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0.186</w:t>
            </w:r>
          </w:p>
        </w:tc>
      </w:tr>
      <w:tr>
        <w:trPr>
          <w:cantSplit/>
        </w:trPr>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Large-tree BA &gt;= 30 ft2/ac</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2024</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12.498</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11.349</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13.647</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0.168</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0.151</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0.185</w:t>
            </w:r>
          </w:p>
        </w:tc>
      </w:tr>
      <w:tr>
        <w:trPr>
          <w:cantSplit/>
        </w:trPr>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Large-tree BA &gt;= 40 ft2/ac</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2024</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8.179</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7.217</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9.14</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0.114</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0.096</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0.133</w:t>
            </w:r>
          </w:p>
        </w:tc>
      </w:tr>
    </w:tbl>
    <w:p>
      <w:pPr>
        <w:pStyle w:val="Heading1"/>
      </w:pPr>
      <w:r>
        <w:t xml:space="preserve">Table S2b. FIA older forest by ownership (private commercial vs public)</w:t>
      </w:r>
    </w:p>
    <w:p>
      <w:pPr>
        <w:keepNext/>
        <w:spacing w:after="50" w:before="120"/>
      </w:pPr>
      <w:r>
        <w:rPr>
          <w:i/>
          <w:iCs/>
          <w:color w:val="555555"/>
          <w:sz w:val="18"/>
          <w:szCs w:val="18"/>
        </w:rPr>
        <w:t xml:space="preserve">Table S2b. Design-based older-forest area by ownership group with 95% CI and 2003-2024 trend. Older forest is rising on private commercial timberland as well as public 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cantSplit/>
        </w:trPr>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domain</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owner</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2024 %</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lo</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hi</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trend %/yr</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slope lo</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slope hi</w:t>
            </w:r>
          </w:p>
        </w:tc>
      </w:tr>
      <w:tr>
        <w:trPr>
          <w:cantSplit/>
        </w:trPr>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Stand age &gt;= 120 yr</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private</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3.313</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2.657</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3.969</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0.031</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0.019</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0.044</w:t>
            </w:r>
          </w:p>
        </w:tc>
      </w:tr>
      <w:tr>
        <w:trPr>
          <w:cantSplit/>
        </w:trPr>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Stand age &gt;= 120 yr</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public</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10.797</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7.124</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14.471</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0.391</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0.326</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0.456</w:t>
            </w:r>
          </w:p>
        </w:tc>
      </w:tr>
      <w:tr>
        <w:trPr>
          <w:cantSplit/>
        </w:trPr>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Large-tree BA &gt;= 30</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private</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11.543</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10.377</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12.709</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0.15</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0.134</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0.165</w:t>
            </w:r>
          </w:p>
        </w:tc>
      </w:tr>
      <w:tr>
        <w:trPr>
          <w:cantSplit/>
        </w:trPr>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Large-tree BA &gt;= 30</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public</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22.943</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17.633</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28.253</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0.21</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0.111</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0.309</w:t>
            </w:r>
          </w:p>
        </w:tc>
      </w:tr>
    </w:tbl>
    <w:p>
      <w:pPr>
        <w:pStyle w:val="Heading1"/>
      </w:pPr>
      <w:r>
        <w:t xml:space="preserve">Table S3. Random forest stochasticity (20-seed ensemble)</w:t>
      </w:r>
    </w:p>
    <w:p>
      <w:pPr>
        <w:keepNext/>
        <w:spacing w:after="50" w:before="120"/>
      </w:pPr>
      <w:r>
        <w:rPr>
          <w:i/>
          <w:iCs/>
          <w:color w:val="555555"/>
          <w:sz w:val="18"/>
          <w:szCs w:val="18"/>
        </w:rPr>
        <w:t xml:space="preserve">Table S3. Mean, SD, and range across 20 random forest seeds for reproduced accuracy, wall-to-wall area, and cross-validation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Pr>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metric</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mean</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sd</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min</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max</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oob_binary_acc</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94.05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0.317</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93.737</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95.032</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ww_any_pct</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21.591</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0.22</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21.15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22.1</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ww_lsogl_pct</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4.235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0.063</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4.115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4.339</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ww_ogl_pct</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0.945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0.032</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1.007</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ww_lsogl_ha</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181,317</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2,707</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176,207</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185,787</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kappa_any</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0.128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0.004</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0.122</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0.139</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kappa_lsog</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0.064</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0.011</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0.049</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0.079</w:t>
            </w:r>
          </w:p>
        </w:tc>
      </w:tr>
    </w:tbl>
    <w:p>
      <w:pPr>
        <w:pStyle w:val="Heading1"/>
      </w:pPr>
      <w:r>
        <w:t xml:space="preserve">Table S4. Cross-method disagreement by owner class</w:t>
      </w:r>
    </w:p>
    <w:p>
      <w:pPr>
        <w:keepNext/>
        <w:spacing w:after="50" w:before="120"/>
      </w:pPr>
      <w:r>
        <w:rPr>
          <w:i/>
          <w:iCs/>
          <w:color w:val="555555"/>
          <w:sz w:val="18"/>
          <w:szCs w:val="18"/>
        </w:rPr>
        <w:t xml:space="preserve">Table S4. Of the LSOG flagged by any method, the share that is contested (flagged by one or two methods, not all) by owner class. Disagreement is pervasive across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Pr>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owner code</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flagged ha</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all-agree ha</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contested ha</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 contested</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3</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364,952</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1,624</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363,328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99.6</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344,603</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1,448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343,155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99.6</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4</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314,352</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899</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313,453</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99.7</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7</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147,168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989</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146,179</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99.3</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102,091</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125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101,966</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99.9</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6</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42,120</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594</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41,526</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98.6</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16,199</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48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16,151</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99.7</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2</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16,046</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135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15,911</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99.2</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719</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719</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100</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530</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2</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528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99.6</w:t>
            </w:r>
          </w:p>
        </w:tc>
      </w:tr>
    </w:tbl>
    <w:p>
      <w:pPr>
        <w:pStyle w:val="Heading1"/>
      </w:pPr>
      <w:r>
        <w:t xml:space="preserve">Table S5. TreeMap LSOG time series</w:t>
      </w:r>
    </w:p>
    <w:p>
      <w:pPr>
        <w:keepNext/>
        <w:spacing w:after="50" w:before="120"/>
      </w:pPr>
      <w:r>
        <w:rPr>
          <w:i/>
          <w:iCs/>
          <w:color w:val="555555"/>
          <w:sz w:val="18"/>
          <w:szCs w:val="18"/>
        </w:rPr>
        <w:t xml:space="preserve">Table S5. TreeMap-imputed LSOG area over 2016-2022 (native 30 m), Maine unorganized townships.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year</w:t>
            </w:r>
          </w:p>
        </w:tc>
        <w:tc>
          <w:tcPr>
            <w:tcW w:type="dxa" w:w="234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any-LSOG %</w:t>
            </w:r>
          </w:p>
        </w:tc>
        <w:tc>
          <w:tcPr>
            <w:tcW w:type="dxa" w:w="234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LS+OG %</w:t>
            </w:r>
          </w:p>
        </w:tc>
        <w:tc>
          <w:tcPr>
            <w:tcW w:type="dxa" w:w="234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known ha</w:t>
            </w:r>
          </w:p>
        </w:tc>
      </w:tr>
      <w:tr>
        <w:trPr>
          <w:cantSplit/>
        </w:trPr>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2016</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6.452</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0.217</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3,765,076</w:t>
            </w:r>
          </w:p>
        </w:tc>
      </w:tr>
      <w:tr>
        <w:trPr>
          <w:cantSplit/>
        </w:trPr>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2020</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7.902</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0.608</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3,888,375</w:t>
            </w:r>
          </w:p>
        </w:tc>
      </w:tr>
      <w:tr>
        <w:trPr>
          <w:cantSplit/>
        </w:trPr>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2022</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7.806</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0.594</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3,876,445</w:t>
            </w:r>
          </w:p>
        </w:tc>
      </w:tr>
    </w:tbl>
    <w:p>
      <w:pPr>
        <w:pStyle w:val="Heading1"/>
      </w:pPr>
      <w:r>
        <w:t xml:space="preserve">Table S6. LiDAR prediction of structure, and old-growth discriminators</w:t>
      </w:r>
    </w:p>
    <w:p>
      <w:pPr>
        <w:keepNext/>
        <w:spacing w:after="50" w:before="120"/>
      </w:pPr>
      <w:r>
        <w:rPr>
          <w:i/>
          <w:iCs/>
          <w:color w:val="555555"/>
          <w:sz w:val="18"/>
          <w:szCs w:val="18"/>
        </w:rPr>
        <w:t xml:space="preserve">Table S6a. Cross-validated R-squared for predicting ground structural attributes from the eight LiDAR metrics. Dead wood (CWD, snags) is poorly predicted.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structural attribute</w:t>
            </w:r>
          </w:p>
        </w:tc>
        <w:tc>
          <w:tcPr>
            <w:tcW w:type="dxa" w:w="234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CV R-squared from LiDAR</w:t>
            </w:r>
          </w:p>
        </w:tc>
        <w:tc>
          <w:tcPr>
            <w:tcW w:type="dxa" w:w="234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lo</w:t>
            </w:r>
          </w:p>
        </w:tc>
        <w:tc>
          <w:tcPr>
            <w:tcW w:type="dxa" w:w="234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hi</w:t>
            </w:r>
          </w:p>
        </w:tc>
      </w:tr>
      <w:tr>
        <w:trPr>
          <w:cantSplit/>
        </w:trPr>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basal_GE_40cmDBH</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0.681</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0.669</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w:t>
            </w:r>
          </w:p>
        </w:tc>
      </w:tr>
      <w:tr>
        <w:trPr>
          <w:cantSplit/>
        </w:trPr>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No_treesGE_40cmdbh</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0.586</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0.578</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0.597</w:t>
            </w:r>
          </w:p>
        </w:tc>
      </w:tr>
      <w:tr>
        <w:trPr>
          <w:cantSplit/>
        </w:trPr>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CWD_vol</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0.201</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0.175</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0.23</w:t>
            </w:r>
          </w:p>
        </w:tc>
      </w:tr>
      <w:tr>
        <w:trPr>
          <w:cantSplit/>
        </w:trPr>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sum_dead_basalarea</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0.241</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0.222</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0.264</w:t>
            </w:r>
          </w:p>
        </w:tc>
      </w:tr>
      <w:tr>
        <w:trPr>
          <w:cantSplit/>
        </w:trPr>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CV_livedbh</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0.514</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0.502</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0.526</w:t>
            </w:r>
          </w:p>
        </w:tc>
      </w:tr>
    </w:tbl>
    <w:p>
      <w:pPr>
        <w:keepNext/>
        <w:spacing w:after="50" w:before="120"/>
      </w:pPr>
      <w:r>
        <w:rPr>
          <w:i/>
          <w:iCs/>
          <w:color w:val="555555"/>
          <w:sz w:val="18"/>
          <w:szCs w:val="18"/>
        </w:rPr>
        <w:t xml:space="preserve">Table S6b. Old-growth discriminators (random forest variable importance) across LiDAR and ground-structure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variable</w:t>
            </w:r>
          </w:p>
        </w:tc>
        <w:tc>
          <w:tcPr>
            <w:tcW w:type="dxa" w:w="312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set</w:t>
            </w:r>
          </w:p>
        </w:tc>
        <w:tc>
          <w:tcPr>
            <w:tcW w:type="dxa" w:w="312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importance (MDA)</w:t>
            </w:r>
          </w:p>
        </w:tc>
      </w:tr>
      <w:tr>
        <w:trPr>
          <w:cantSplit/>
        </w:trP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sum_live_basalarea</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ground structure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undefined</w:t>
            </w:r>
          </w:p>
        </w:tc>
      </w:tr>
      <w:tr>
        <w:trPr>
          <w:cantSplit/>
        </w:trP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cano_cover_15</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LiDAR canopy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undefined</w:t>
            </w:r>
          </w:p>
        </w:tc>
      </w:tr>
      <w:tr>
        <w:trPr>
          <w:cantSplit/>
        </w:trP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basal_GE_40cmDBH</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ground structure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undefined</w:t>
            </w:r>
          </w:p>
        </w:tc>
      </w:tr>
      <w:tr>
        <w:trPr>
          <w:cantSplit/>
        </w:trP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percentile_95th</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LiDAR canopy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undefined</w:t>
            </w:r>
          </w:p>
        </w:tc>
      </w:tr>
      <w:tr>
        <w:trPr>
          <w:cantSplit/>
        </w:trP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CV_livedbh</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ground structure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undefined</w:t>
            </w:r>
          </w:p>
        </w:tc>
      </w:tr>
      <w:tr>
        <w:trPr>
          <w:cantSplit/>
        </w:trP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QMD_live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ground structure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undefined</w:t>
            </w:r>
          </w:p>
        </w:tc>
      </w:tr>
      <w:tr>
        <w:trPr>
          <w:cantSplit/>
        </w:trP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mean_cano_ht</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LiDAR canopy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undefined</w:t>
            </w:r>
          </w:p>
        </w:tc>
      </w:tr>
      <w:tr>
        <w:trPr>
          <w:cantSplit/>
        </w:trP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sum_dead_basalarea</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ground structure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undefined</w:t>
            </w:r>
          </w:p>
        </w:tc>
      </w:tr>
      <w:tr>
        <w:trPr>
          <w:cantSplit/>
        </w:trP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cano_cover_2</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LiDAR canopy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undefined</w:t>
            </w:r>
          </w:p>
        </w:tc>
      </w:tr>
      <w:tr>
        <w:trPr>
          <w:cantSplit/>
        </w:trP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max_cano_ht</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LiDAR canopy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undefined</w:t>
            </w:r>
          </w:p>
        </w:tc>
      </w:tr>
      <w:tr>
        <w:trPr>
          <w:cantSplit/>
        </w:trP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No_treesGE_40cmdbh</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ground structure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undefined</w:t>
            </w:r>
          </w:p>
        </w:tc>
      </w:tr>
      <w:tr>
        <w:trPr>
          <w:cantSplit/>
        </w:trP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prop_basal_GE_40cmDBH</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ground structure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undefined</w:t>
            </w:r>
          </w:p>
        </w:tc>
      </w:tr>
      <w:tr>
        <w:trPr>
          <w:cantSplit/>
        </w:trP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top_rugosity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LiDAR canopy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undefined</w:t>
            </w:r>
          </w:p>
        </w:tc>
      </w:tr>
      <w:tr>
        <w:trPr>
          <w:cantSplit/>
        </w:trP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cano_cover_6</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LiDAR canopy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undefined</w:t>
            </w:r>
          </w:p>
        </w:tc>
      </w:tr>
      <w:tr>
        <w:trPr>
          <w:cantSplit/>
        </w:trP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rumple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LiDAR canopy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undefined</w:t>
            </w:r>
          </w:p>
        </w:tc>
      </w:tr>
      <w:tr>
        <w:trPr>
          <w:cantSplit/>
        </w:trP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CWD_vol</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ground structure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undefined</w:t>
            </w:r>
          </w:p>
        </w:tc>
      </w:tr>
    </w:tbl>
    <w:p>
      <w:pPr>
        <w:pStyle w:val="Heading1"/>
      </w:pPr>
      <w:r>
        <w:t xml:space="preserve">Table S7. Reproduced random forest out-of-bag confusion matrix</w:t>
      </w:r>
    </w:p>
    <w:p>
      <w:pPr>
        <w:keepNext/>
        <w:spacing w:after="50" w:before="120"/>
      </w:pPr>
      <w:r>
        <w:rPr>
          <w:i/>
          <w:iCs/>
          <w:color w:val="555555"/>
          <w:sz w:val="18"/>
          <w:szCs w:val="18"/>
        </w:rPr>
        <w:t xml:space="preserve">Table S7. Out-of-bag confusion matrix (counts) for the reproduced airborne-LiDAR random forest. Rows are field-assigned classes, columns predicted. True old growth is recovered only about a quarter of the time (Fig. 1 of the Comment).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Pr>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True</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LS</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Not LS</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Old-growth</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Trans LS</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LS</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68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10</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Not LS</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268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14</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Old-growth</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9</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4</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4</w:t>
            </w:r>
          </w:p>
        </w:tc>
      </w:tr>
      <w:tr>
        <w:trPr>
          <w:cantSplit/>
        </w:trP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Trans LS</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10</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15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1</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59</w:t>
            </w:r>
          </w:p>
        </w:tc>
      </w:tr>
    </w:tbl>
    <w:p>
      <w:pPr>
        <w:pStyle w:val="Heading1"/>
      </w:pPr>
      <w:r>
        <w:t xml:space="preserve">Table S8. Sensitivity of the classification to the probability cutoff</w:t>
      </w:r>
    </w:p>
    <w:p>
      <w:pPr>
        <w:keepNext/>
        <w:spacing w:after="50" w:before="120"/>
      </w:pPr>
      <w:r>
        <w:rPr>
          <w:i/>
          <w:iCs/>
          <w:color w:val="555555"/>
          <w:sz w:val="18"/>
          <w:szCs w:val="18"/>
        </w:rPr>
        <w:t xml:space="preserve">Table S8. As the random forest probability cutoff for calling LSOG varies, the fraction of labelled plots called LSOG, sensitivity, specificity, overall accuracy, and the true-skill statistic (TSS) all shift (Fig. 2 of the Comment).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rPr>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cutoff</w:t>
            </w:r>
          </w:p>
        </w:tc>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frac called LSOG</w:t>
            </w:r>
          </w:p>
        </w:tc>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sensitivity</w:t>
            </w:r>
          </w:p>
        </w:tc>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specificity</w:t>
            </w:r>
          </w:p>
        </w:tc>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accuracy</w:t>
            </w:r>
          </w:p>
        </w:tc>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pPr>
              <w:keepNext/>
            </w:pPr>
            <w:r>
              <w:rPr>
                <w:b/>
                <w:bCs/>
                <w:color w:val="FFFFFF"/>
                <w:sz w:val="16"/>
                <w:szCs w:val="16"/>
              </w:rPr>
              <w:t xml:space="preserve">TSS</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0.1</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0.944</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1</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0.329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0.886</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0.329</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0.15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0.927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0.997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0.418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0.898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0.415</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0.909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0.992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0.494</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0.907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0.486</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0.25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0.888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0.608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0.924</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0.597</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0.3</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0.868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0.984</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0.696</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0.935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0.681</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0.35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0.862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0.982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0.722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0.937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0.703</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0.4</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0.849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0.971</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0.747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0.933</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0.718</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0.45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0.836</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0.966</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0.797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0.937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0.764</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0.823</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0.958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0.835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0.937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0.794</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0.55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0.812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0.948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0.848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0.931</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0.796</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0.6</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0.808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0.943</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0.848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0.927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0.791</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0.65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0.786</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0.93</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0.911</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0.927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0.841</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0.778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0.922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0.924</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0.922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0.846</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0.769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0.914</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0.937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0.918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0.851</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0.76</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0.904</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0.937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0.909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0.84</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0.749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0.893</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0.949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0.903</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pPr>
            <w:r>
              <w:rPr>
                <w:b w:val="false"/>
                <w:bCs w:val="false"/>
                <w:color w:val="000000"/>
                <w:sz w:val="16"/>
                <w:szCs w:val="16"/>
              </w:rPr>
              <w:t xml:space="preserve">0.843</w:t>
            </w:r>
          </w:p>
        </w:tc>
      </w:tr>
      <w:tr>
        <w:trPr>
          <w:cantSplit/>
        </w:trP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0.728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0.875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0.987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0.894</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pPr>
              <w:keepNext w:val="false"/>
            </w:pPr>
            <w:r>
              <w:rPr>
                <w:b w:val="false"/>
                <w:bCs w:val="false"/>
                <w:color w:val="000000"/>
                <w:sz w:val="16"/>
                <w:szCs w:val="16"/>
              </w:rPr>
              <w:t xml:space="preserve">0.862</w:t>
            </w:r>
          </w:p>
        </w:tc>
      </w:tr>
    </w:tbl>
    <w:p>
      <w:pPr>
        <w:pStyle w:val="Heading1"/>
      </w:pPr>
      <w:r>
        <w:t xml:space="preserve">Figure S1. Hex-scale cross-map disagreement</w:t>
      </w:r>
    </w:p>
    <w:p>
      <w:pPr>
        <w:spacing w:after="40" w:before="80"/>
        <w:jc w:val="center"/>
      </w:pPr>
      <w:r>
        <w:drawing>
          <wp:inline distT="0" distB="0" distL="0" distR="0">
            <wp:extent cx="4457700" cy="1362075"/>
            <wp:effectExtent t="0" r="0" b="0" l="0"/>
            <wp:docPr id="1" name="hex" descr="hex" title="h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1362075"/>
                    </a:xfrm>
                    <a:prstGeom prst="rect">
                      <a:avLst/>
                    </a:prstGeom>
                  </pic:spPr>
                </pic:pic>
              </a:graphicData>
            </a:graphic>
          </wp:inline>
        </w:drawing>
      </w:r>
    </w:p>
    <w:p>
      <w:pPr>
        <w:spacing w:after="200" w:before="50"/>
      </w:pPr>
      <w:r>
        <w:rPr>
          <w:i/>
          <w:iCs/>
          <w:color w:val="555555"/>
          <w:sz w:val="18"/>
          <w:szCs w:val="18"/>
        </w:rPr>
        <w:t xml:space="preserve">Figure S1. Any-LSOG fraction by method aggregated to 8 km hexagons over the area of interest, and the cross-method disagreement (max minus min). Disagreement concentrates in the northern and central townships.</w:t>
      </w:r>
    </w:p>
    <w:p>
      <w:pPr>
        <w:pStyle w:val="Heading1"/>
      </w:pPr>
      <w:r>
        <w:t xml:space="preserve">Figure S2. Maine ensemble bivariate (agreement by uncertainty)</w:t>
      </w:r>
    </w:p>
    <w:p>
      <w:pPr>
        <w:spacing w:after="40" w:before="80"/>
        <w:jc w:val="center"/>
      </w:pPr>
      <w:r>
        <w:drawing>
          <wp:inline distT="0" distB="0" distL="0" distR="0">
            <wp:extent cx="3143250" cy="3143250"/>
            <wp:effectExtent t="0" r="0" b="0" l="0"/>
            <wp:docPr id="1" name="bivariate" descr="bivariate" title="bivar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spacing w:after="200" w:before="50"/>
      </w:pPr>
      <w:r>
        <w:rPr>
          <w:i/>
          <w:iCs/>
          <w:color w:val="555555"/>
          <w:sz w:val="18"/>
          <w:szCs w:val="18"/>
        </w:rPr>
        <w:t xml:space="preserve">Figure S2. Bivariate map of the prototype ensemble agreement score (horizontal) by uncertainty (vertical) for the Maine study area, tercile breaks. The defensible acquisition targets are the high-agreement, low-uncertainty hexes; most of the landscape carries high uncertainty.</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pPr>
    <w:rPr>
      <w:rFonts w:ascii="Times New Roman" w:cs="Times New Roman" w:eastAsia="Times New Roman" w:hAnsi="Times New Roman"/>
      <w:b/>
      <w:bCs/>
      <w:color w:val="1A3D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f6d606d32ff90a45a0130e3972468bb2944e0a.png"/><Relationship Id="rId8" Type="http://schemas.openxmlformats.org/officeDocument/2006/relationships/image" Target="media/a24e9c842d20c49d1794ca850b07fb1a51c760c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2026-06-11T10:54:36.884Z</dcterms:created>
  <dcterms:modified xsi:type="dcterms:W3CDTF">2026-06-11T10:54:36.885Z</dcterms:modified>
</cp:coreProperties>
</file>

<file path=docProps/custom.xml><?xml version="1.0" encoding="utf-8"?>
<Properties xmlns="http://schemas.openxmlformats.org/officeDocument/2006/custom-properties" xmlns:vt="http://schemas.openxmlformats.org/officeDocument/2006/docPropsVTypes"/>
</file>