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108" w:line="276"/>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08" w:line="276"/>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08" w:line="276"/>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08" w:line="276"/>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108" w:line="276"/>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Sections 8 and 9 give implications and recommendations.</w:t>
      </w:r>
    </w:p>
    <w:p>
      <w:pPr>
        <w:pStyle w:val="Heading1"/>
        <w:keepNext/>
      </w:pPr>
      <w:r>
        <w:t xml:space="preserve">2.  Training accuracy is high for every approach, and is not the issue</w:t>
      </w:r>
    </w:p>
    <w:p>
      <w:pPr>
        <w:spacing w:after="108" w:line="276"/>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108" w:line="276"/>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108" w:line="276"/>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08" w:line="276"/>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08" w:line="276"/>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What old growth is, and what a canopy sensor can see</w:t>
      </w:r>
    </w:p>
    <w:p>
      <w:pPr>
        <w:spacing w:after="108" w:line="276"/>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108" w:line="276"/>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failing the continuity that defines true old growth.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w:t>
      </w:r>
    </w:p>
    <w:p>
      <w:pPr>
        <w:keepNext/>
        <w:spacing w:after="40" w:before="120"/>
        <w:jc w:val="center"/>
      </w:pPr>
      <w:r>
        <w:drawing>
          <wp:inline distT="0" distB="0" distL="0" distR="0">
            <wp:extent cx="4114800" cy="337185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3371850"/>
                    </a:xfrm>
                    <a:prstGeom prst="rect">
                      <a:avLst/>
                    </a:prstGeom>
                  </pic:spPr>
                </pic:pic>
              </a:graphicData>
            </a:graphic>
          </wp:inline>
        </w:drawing>
      </w:r>
    </w:p>
    <w:p>
      <w:pPr>
        <w:spacing w:after="160" w:before="60"/>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108" w:line="276"/>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(Fig. 6), where the level depends on the criterion but the increasing direction does not.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08" w:line="276"/>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108" w:line="276"/>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keepNext/>
        <w:spacing w:after="40" w:before="120"/>
        <w:jc w:val="center"/>
      </w:pPr>
      <w:r>
        <w:drawing>
          <wp:inline distT="0" distB="0" distL="0" distR="0">
            <wp:extent cx="4343400" cy="2895600"/>
            <wp:effectExtent t="0" r="0" b="0" l="0"/>
            <wp:docPr id="1" name="Fig. 6. Older forest over time in Maine under four ground definitions and thresholds (FIA design-based): stand age &gt;= 100, &gt;= 120, and &gt;= 150 yr, and large-tree basal area &gt;= 30 ft-sq/ac, each with a 95% band. The level depends on the criterion chosen, but every definition increases over 2003-2024." descr="Fig. 6. Older forest over time in Maine under four ground definitions and thresholds (FIA design-based): stand age &gt;= 100, &gt;= 120, and &gt;= 150 yr, and large-tree basal area &gt;= 30 ft-sq/ac, each with a 95% band. The level depends on the criterion chosen, but every definition increases over 2003-2024." title="Fig. 6. Older forest over time in Maine under four ground definitions and thresholds (FIA design-based): stand age &gt;= 100, &gt;= 120, and &gt;= 150 yr, and large-tree basal area &gt;= 30 ft-sq/ac, each with a 95% band. The level depends on the criterion chosen, but every definition increases over 2003-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43400" cy="2895600"/>
                    </a:xfrm>
                    <a:prstGeom prst="rect">
                      <a:avLst/>
                    </a:prstGeom>
                  </pic:spPr>
                </pic:pic>
              </a:graphicData>
            </a:graphic>
          </wp:inline>
        </w:drawing>
      </w:r>
    </w:p>
    <w:p>
      <w:pPr>
        <w:spacing w:after="160" w:before="60"/>
      </w:pPr>
      <w:r>
        <w:rPr>
          <w:i/>
          <w:iCs/>
          <w:color w:val="555555"/>
          <w:sz w:val="18"/>
          <w:szCs w:val="18"/>
        </w:rPr>
        <w:t xml:space="preserve">Fig. 6. Older forest over time in Maine under four ground definitions and thresholds (FIA design-based): stand age &gt;= 100, &gt;= 120, and &gt;= 150 yr, and large-tree basal area &gt;= 30 ft-sq/ac, each with a 95% band. The level depends on the criterion chosen, but every definition increases over 2003-2024.</w:t>
      </w:r>
    </w:p>
    <w:p>
      <w:pPr>
        <w:pStyle w:val="Heading1"/>
        <w:keepNext/>
      </w:pPr>
      <w:r>
        <w:t xml:space="preserve">6.  Beyond Maine: increasing older forest and limited existing protection</w:t>
      </w:r>
    </w:p>
    <w:p>
      <w:pPr>
        <w:spacing w:after="108" w:line="276"/>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7,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7.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7.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7.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7.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108" w:line="276"/>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108" w:line="276"/>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9 into routine practice.</w:t>
      </w:r>
    </w:p>
    <w:p>
      <w:pPr>
        <w:spacing w:after="108" w:line="276"/>
        <w:jc w:val="both"/>
      </w:pPr>
      <w:r>
        <w:rPr>
          <w:sz w:val="22"/>
          <w:szCs w:val="22"/>
        </w:rPr>
        <w:t xml:space="preserve">Across the region (Fig. 8),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Implications</w:t>
      </w:r>
    </w:p>
    <w:p>
      <w:pPr>
        <w:spacing w:after="108" w:line="276"/>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The exposure is sharpest for the isolated single-hectare patches the map is designed to find: at 1 ha, classifications fall on stand boundaries and mixed conditions, which the authors attribute part of their finer-class error to, so prioritizing scattered 1-ha parcels concentrates spending where the map is least reliable.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using their rapid field protocol (Shamgochian et al. 2025).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keepNext/>
      </w:pPr>
      <w:r>
        <w:t xml:space="preserve">9.  Recommendations for future research</w:t>
      </w:r>
    </w:p>
    <w:p>
      <w:pPr>
        <w:spacing w:after="108" w:line="276"/>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108" w:line="276"/>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Franklin, J. F., and R. Van Pelt. 2004. Spatial aspects of structural complexity in old-growth forests. Journal of Forestry 102(3):22-28.</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p>
      <w:pPr>
        <w:spacing w:after="120"/>
        <w:ind w:left="360" w:hanging="360"/>
      </w:pPr>
      <w:r>
        <w:rPr>
          <w:sz w:val="20"/>
          <w:szCs w:val="20"/>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d8e52e2f54e2f8eecaa06e1c5e76afae102d3fd0.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59bfe01ffbf65dafdfb3cead38dc9d59c788928e.png"/><Relationship Id="rId14" Type="http://schemas.openxmlformats.org/officeDocument/2006/relationships/image" Target="media/87d552fefd7322d6e179521bab0577e781439de1.png"/><Relationship Id="rId15" Type="http://schemas.openxmlformats.org/officeDocument/2006/relationships/image" Target="media/da083765b469a8b7ad8fb3cfe33940a62c3b9b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2026-06-11T11:13:43.899Z</dcterms:created>
  <dcterms:modified xsi:type="dcterms:W3CDTF">2026-06-11T11:13:43.899Z</dcterms:modified>
</cp:coreProperties>
</file>

<file path=docProps/custom.xml><?xml version="1.0" encoding="utf-8"?>
<Properties xmlns="http://schemas.openxmlformats.org/officeDocument/2006/custom-properties" xmlns:vt="http://schemas.openxmlformats.org/officeDocument/2006/docPropsVTypes"/>
</file>