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r>
        <w:rPr>
          <w:color w:val="555555"/>
          <w:sz w:val="20"/>
          <w:szCs w:val="20"/>
        </w:rPr>
        <w:t xml:space="preserve">  [co-authors to be added]</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pPr>
      <w:r>
        <w:t xml:space="preserve">1.  Introduction</w:t>
      </w:r>
    </w:p>
    <w:p>
      <w:pPr>
        <w:spacing w:after="160" w:line="300"/>
        <w:jc w:val="both"/>
      </w:pPr>
      <w:r>
        <w:rPr>
          <w:sz w:val="22"/>
          <w:szCs w:val="22"/>
        </w:rPr>
        <w:t xml:space="preserve">Hagan et al. (2026) provide a valuable, transparent, and timely contribution: a field-trained, wall-to-wall classification of late-successional and old-growth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160" w:line="300"/>
        <w:jc w:val="both"/>
      </w:pPr>
      <w:r>
        <w:rPr>
          <w:sz w:val="22"/>
          <w:szCs w:val="22"/>
        </w:rPr>
        <w:t xml:space="preserve">Our concern is narrower and methodological, and it follows from how the map is now being used. The classification has become the spatial basis for conservation prioritization at scale: Thompson et al. (2026) build directly on it and estimate that protecting the highest-priority half of the mapped LSOG patches would cost on the order of US $200-300 million, in support of Maine's LD 1529. When a single map becomes the substrate for parcel-level acquisition and emerging carbon and conservation markets, the properties that govern its fitness for that purpose are no longer only its training accuracy. They are (i) its accuracy and agreement relative to independent maps and to ground-based inventory of the same target; (ii) the uncertainty of every quantity derived from it; and (iii) the validity of the trend used to motivate action. A map can be both wrong, in the unavoidable sense that LSOG is a continuous and partly subjective condition forced into discrete classes, and useful for some decisions but not others (Box 1976). Our purpose is to show, using analyses built largely on the authors' own archived data and on independent public data over the same area, what a cross-map accuracy assessment and an explicit uncertainty statement add.</w:t>
      </w:r>
    </w:p>
    <w:p>
      <w:pPr>
        <w:spacing w:after="160" w:line="300"/>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pPr>
      <w:r>
        <w:t xml:space="preserve">2.  Training accuracy is high for every approach, and is not the issue</w:t>
      </w:r>
    </w:p>
    <w:p>
      <w:pPr>
        <w:spacing w:after="160" w:line="300"/>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Ground structure</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[0.962, 0.969]</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0.970 [0.967, 0.973]</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0.974 [0.966, 0.981]</w:t>
            </w:r>
          </w:p>
        </w:tc>
      </w:tr>
    </w:tbl>
    <w:p>
      <w:pPr>
        <w:spacing w:after="200" w:before="60"/>
      </w:pPr>
      <w:r>
        <w:rPr>
          <w:i/>
          <w:iCs/>
          <w:color w:val="555555"/>
          <w:sz w:val="18"/>
          <w:szCs w:val="18"/>
        </w:rPr>
        <w:t xml:space="preserve">Table 1. Cross-validated AUC (mean [95% interval]) recovering the field-assigned class from three predictor sets, on the 463 archived training plots.</w:t>
      </w:r>
    </w:p>
    <w:p>
      <w:pPr>
        <w:pStyle w:val="Heading1"/>
      </w:pPr>
      <w:r>
        <w:t xml:space="preserve">3.  High training accuracy does not produce map agreement</w:t>
      </w:r>
    </w:p>
    <w:p>
      <w:pPr>
        <w:spacing w:after="160" w:line="300"/>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the Hagan classifier, 14.0% under the canopy-height model, and 7.8% under TreeMap, a 2.8-fold range. Spatially, the Hagan and canopy-height maps overlap on only about 21% of the hectares either one flags (Cohen's kappa 0.21); across all three methods, only 21% of the flagged footprint is agreed by all three, and more than half is flagged by a single method (Table 2; Fig. 1). We separately reproduced the privately held Seven Islands classification and found it effectively identical to the published model (pixel-level kappa 0.97 across approximately 290,000 ha), which confirms that the disagreement among methods is genuine rather than an artifact of our reproduction. We stress that none of these products is ground truth, including the two we constructed; the canopy-height map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60" w:line="300"/>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Jaccard vs Hagan</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0.03</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r>
    </w:tbl>
    <w:p>
      <w:pPr>
        <w:spacing w:after="200" w:before="60"/>
      </w:pPr>
      <w:r>
        <w:rPr>
          <w:i/>
          <w:iCs/>
          <w:color w:val="555555"/>
          <w:sz w:val="18"/>
          <w:szCs w:val="18"/>
        </w:rPr>
        <w:t xml:space="preserve">Table 2. Wall-to-wall any-LSOG area and pairwise agreement across three independent maps over the study area.</w:t>
      </w:r>
    </w:p>
    <w:p>
      <w:pPr>
        <w:spacing w:after="40" w:before="120"/>
        <w:jc w:val="center"/>
      </w:pPr>
      <w:r>
        <w:drawing>
          <wp:inline distT="0" distB="0" distL="0" distR="0">
            <wp:extent cx="4114800" cy="54483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5448300"/>
                    </a:xfrm>
                    <a:prstGeom prst="rect">
                      <a:avLst/>
                    </a:prstGeom>
                  </pic:spPr>
                </pic:pic>
              </a:graphicData>
            </a:graphic>
          </wp:inline>
        </w:drawing>
      </w:r>
    </w:p>
    <w:p>
      <w:pPr>
        <w:spacing w:after="20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pPr>
      <w:r>
        <w:t xml:space="preserve">4.  The canopy signal maps big-tree forest, not old growth</w:t>
      </w:r>
    </w:p>
    <w:p>
      <w:pPr>
        <w:spacing w:after="160" w:line="300"/>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that keys on the big-tree, tall-canopy signal will tend to over-include relative to a structural or age-based definition, consistent with the among-method spread in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CV R-squared from 8 LiDAR metrics</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0.68</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0.59</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0.51</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0.24</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0.20</w:t>
            </w:r>
          </w:p>
        </w:tc>
      </w:tr>
    </w:tbl>
    <w:p>
      <w:pPr>
        <w:spacing w:after="200" w:before="60"/>
      </w:pPr>
      <w:r>
        <w:rPr>
          <w:i/>
          <w:iCs/>
          <w:color w:val="555555"/>
          <w:sz w:val="18"/>
          <w:szCs w:val="18"/>
        </w:rPr>
        <w:t xml:space="preserve">Table 3. Cross-validated R-squared for predicting ground structural attributes from the eight LiDAR canopy metrics.</w:t>
      </w:r>
    </w:p>
    <w:p>
      <w:pPr>
        <w:pStyle w:val="Heading1"/>
      </w:pPr>
      <w:r>
        <w:t xml:space="preserve">5.  Ground-based inventory: the estimate, with the interval the map omits</w:t>
      </w:r>
    </w:p>
    <w:p>
      <w:pPr>
        <w:spacing w:after="160" w:line="300"/>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60" w:line="300"/>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northern units show the same increases; only the oldest class (age &gt;= 150 yr) in the north declines slightly. Both statements can be true at once: LSOG stands are harvested at roughly 2% per year, and the total older-forest stock is not declining, because aging more than replaces the hectares removed, consistent with regional syntheses (Birdsey et al. 2025). Where a rate of loss is invoked to convey urgency, the flux and the stock should be distinguished.</w:t>
      </w:r>
    </w:p>
    <w:p>
      <w:pPr>
        <w:spacing w:after="160" w:line="300"/>
        <w:jc w:val="both"/>
      </w:pPr>
      <w:r>
        <w:rPr>
          <w:sz w:val="22"/>
          <w:szCs w:val="22"/>
        </w:rPr>
        <w:t xml:space="preserve">Finally,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 Their own accuracy limitations are documented (Moudry et al. 2024), which is precisely the reason to use them as one line of evidence among several rather than to rely on any single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Trend %/yr [95% CI]</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+0.19 [0.15, 0.23]</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+0.065 [0.054, 0.075]</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+0.000 [-0.005, 0.006]</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+0.17 [0.15, 0.18]</w:t>
            </w:r>
          </w:p>
        </w:tc>
      </w:tr>
    </w:tbl>
    <w:p>
      <w:pPr>
        <w:spacing w:after="200" w:before="60"/>
      </w:pPr>
      <w:r>
        <w:rPr>
          <w:i/>
          <w:iCs/>
          <w:color w:val="555555"/>
          <w:sz w:val="18"/>
          <w:szCs w:val="18"/>
        </w:rPr>
        <w:t xml:space="preserve">Table 4. FIA design-based older-forest area (2024) with 95% CI, statewide and in the northern timberland units, with 2003-2024 trend.</w:t>
      </w:r>
    </w:p>
    <w:p>
      <w:pPr>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20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pPr>
      <w:r>
        <w:t xml:space="preserve">6.  Implications</w:t>
      </w:r>
    </w:p>
    <w:p>
      <w:pPr>
        <w:spacing w:after="160" w:line="300"/>
        <w:jc w:val="both"/>
      </w:pPr>
      <w:r>
        <w:rPr>
          <w:sz w:val="22"/>
          <w:szCs w:val="22"/>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Second, before hectares are prioritized for acquisition or enrolled in markets, the map should be checked against at least one independent product and field-verified at the parcel scale, as the authors themselves recommend for management decisions. Third, where a rate of loss is invoked, the harvest flux and the net stock should be distinguished, because they point in opposite directions here. The Hagan et al. map is a useful and reproducible product; our point is that its usefulness for high-stakes allocation depends on the cross-map accuracy assessment and uncertainty characterization that should now accompany it.</w:t>
      </w:r>
    </w:p>
    <w:p>
      <w:pPr>
        <w:pStyle w:val="Heading1"/>
      </w:pPr>
      <w:r>
        <w:t xml:space="preserve">Data and code availability</w:t>
      </w:r>
    </w:p>
    <w:p>
      <w:pPr>
        <w:spacing w:after="160" w:line="300"/>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pPr>
      <w:r>
        <w:t xml:space="preserve">References</w:t>
      </w:r>
    </w:p>
    <w:p>
      <w:pPr>
        <w:spacing w:after="120"/>
        <w:ind w:left="360" w:hanging="360"/>
      </w:pPr>
      <w:r>
        <w:rPr>
          <w:sz w:val="20"/>
          <w:szCs w:val="20"/>
        </w:rPr>
        <w:t xml:space="preserve">Barnett, K., et al. 2023. [structural old growth from FIA across the United States]. (complete citation as cited in Hagan et al. 2026).</w:t>
      </w:r>
    </w:p>
    <w:p>
      <w:pPr>
        <w:spacing w:after="120"/>
        <w:ind w:left="360" w:hanging="360"/>
      </w:pPr>
      <w:r>
        <w:rPr>
          <w:sz w:val="20"/>
          <w:szCs w:val="20"/>
        </w:rPr>
        <w:t xml:space="preserve">Birdsey, R., et al. 2025. [northeastern old growth: aging gains nearly offset by harvest losses]. (complete citation as cited in Hagan et al. 2026).</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et al. 2025. [field ground-truthing protocol for LSOG in Maine]. (complete citation as cited in Hagan et al. 2026).</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 Comment on Hagan et al. (2026)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2026-06-10T10:04:37.350Z</dcterms:created>
  <dcterms:modified xsi:type="dcterms:W3CDTF">2026-06-10T10:04:37.365Z</dcterms:modified>
</cp:coreProperties>
</file>

<file path=docProps/custom.xml><?xml version="1.0" encoding="utf-8"?>
<Properties xmlns="http://schemas.openxmlformats.org/officeDocument/2006/custom-properties" xmlns:vt="http://schemas.openxmlformats.org/officeDocument/2006/docPropsVTypes"/>
</file>