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r>
        <w:rPr>
          <w:color w:val="555555"/>
          <w:sz w:val="20"/>
          <w:szCs w:val="20"/>
        </w:rPr>
        <w:t xml:space="preserve">  [co-authors to be added]</w:t>
      </w:r>
    </w:p>
    <w:p>
      <w:pPr>
        <w:spacing w:after="60"/>
      </w:pPr>
      <w:r>
        <w:rPr>
          <w:color w:val="555555"/>
          <w:sz w:val="18"/>
          <w:szCs w:val="18"/>
        </w:rPr>
        <w:t xml:space="preserve">University of Maine, Center for Research on Sustainable Forests, Orono, ME 04469, USA. aaron.weiskittel@maine.edu</w:t>
      </w:r>
    </w:p>
    <w:p>
      <w:pPr>
        <w:spacing w:after="240"/>
      </w:pPr>
      <w:r>
        <w:rPr>
          <w:i/>
          <w:iCs/>
          <w:color w:val="555555"/>
          <w:sz w:val="18"/>
          <w:szCs w:val="18"/>
        </w:rPr>
        <w:t xml:space="preserve">Comment on Hagan, J.M., B. Shamgochian, M.M.L. Taylor &amp; J.M. Reed. 2026. Ecosphere 17:e70670.</w:t>
      </w:r>
    </w:p>
    <w:p>
      <w:pPr>
        <w:pStyle w:val="Heading1"/>
      </w:pPr>
      <w:r>
        <w:t xml:space="preserve">1.  Introduction</w:t>
      </w:r>
    </w:p>
    <w:p>
      <w:pPr>
        <w:spacing w:after="160" w:line="300"/>
        <w:jc w:val="both"/>
      </w:pPr>
      <w:r>
        <w:rPr>
          <w:sz w:val="22"/>
          <w:szCs w:val="22"/>
        </w:rPr>
        <w:t xml:space="preserve">Hagan et al. (2026) provide a valuable, transparent, and timely contribution: a field-trained, wall-to-wall classification of late-successional and old-growth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w:t>
      </w:r>
    </w:p>
    <w:p>
      <w:pPr>
        <w:spacing w:after="160" w:line="300"/>
        <w:jc w:val="both"/>
      </w:pPr>
      <w:r>
        <w:rPr>
          <w:sz w:val="22"/>
          <w:szCs w:val="22"/>
        </w:rPr>
        <w:t xml:space="preserve">Our concern is narrower and methodological, and it follows from how the map is now being used. The classification has become the spatial basis for conservation prioritization at scale: Thompson et al. (2026) build directly on it and estimate that protecting the highest-priority half of the mapped LSOG patches would cost on the order of US $200-300 million, in support of Maine's LD 1529. When a single map becomes the substrate for parcel-level acquisition and emerging carbon and conservation markets, the properties that govern its fitness for that purpose are no longer only its training accuracy. They are (i) its accuracy and agreement relative to independent maps and to ground-based inventory of the same target; (ii) the uncertainty of every quantity derived from it; and (iii) the validity of the trend used to motivate action. A map can be both wrong, in the unavoidable sense that LSOG is a continuous and partly subjective condition forced into discrete classes, and useful for some decisions but not others (Box 1976). Our purpose is to show, using analyses built largely on the authors' own archived data and on independent public data over the same area, what a cross-map accuracy assessment and an explicit uncertainty statement add.</w:t>
      </w:r>
    </w:p>
    <w:p>
      <w:pPr>
        <w:spacing w:after="160" w:line="300"/>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gold standard the LiDAR map approximates, places the amount of older forest with a sampling-error confidence interval the original analysis did not report, and shows the stock to be stable or increasing rather than rapidly declining (Section 5). Section 6 discusses implications.</w:t>
      </w:r>
    </w:p>
    <w:p>
      <w:pPr>
        <w:pStyle w:val="Heading1"/>
      </w:pPr>
      <w:r>
        <w:t xml:space="preserve">2.  Training accuracy is high for every approach, and is not the issue</w:t>
      </w:r>
    </w:p>
    <w:p>
      <w:pPr>
        <w:spacing w:after="160" w:line="300"/>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Ground structure</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0.966 [0.962, 0.969]</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0.970 [0.967, 0.973]</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0.974 [0.966, 0.981]</w:t>
            </w:r>
          </w:p>
        </w:tc>
      </w:tr>
    </w:tbl>
    <w:p>
      <w:pPr>
        <w:spacing w:after="200" w:before="60"/>
      </w:pPr>
      <w:r>
        <w:rPr>
          <w:i/>
          <w:iCs/>
          <w:color w:val="555555"/>
          <w:sz w:val="18"/>
          <w:szCs w:val="18"/>
        </w:rPr>
        <w:t xml:space="preserve">Table 1. Cross-validated AUC (mean [95% interval]) recovering the field-assigned class from three predictor sets, on the 463 archived training plots.</w:t>
      </w:r>
    </w:p>
    <w:p>
      <w:pPr>
        <w:pStyle w:val="Heading1"/>
      </w:pPr>
      <w:r>
        <w:t xml:space="preserve">3.  High training accuracy does not produce map agreement</w:t>
      </w:r>
    </w:p>
    <w:p>
      <w:pPr>
        <w:spacing w:after="160" w:line="300"/>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the Hagan classifier, 14.0% under the canopy-height model, and 7.8% under TreeMap, a 2.8-fold range. Spatially, the Hagan and canopy-height maps overlap on only about 21% of the hectares either one flags (Cohen's kappa 0.21); across all three methods, only 21% of the flagged footprint is agreed by all three, and more than half is flagged by a single method (Table 2; Fig. 1). We separately reproduced the privately held Seven Islands classification and found it effectively identical to the published model (pixel-level kappa 0.97 across approximately 290,000 ha), which confirms that the disagreement among methods is genuine rather than an artifact of our reproduction.</w:t>
      </w:r>
    </w:p>
    <w:p>
      <w:pPr>
        <w:spacing w:after="160" w:line="300"/>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1).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Jaccard vs Hagan</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0.21</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0.03</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
            </w:r>
          </w:p>
        </w:tc>
      </w:tr>
    </w:tbl>
    <w:p>
      <w:pPr>
        <w:spacing w:after="200" w:before="60"/>
      </w:pPr>
      <w:r>
        <w:rPr>
          <w:i/>
          <w:iCs/>
          <w:color w:val="555555"/>
          <w:sz w:val="18"/>
          <w:szCs w:val="18"/>
        </w:rPr>
        <w:t xml:space="preserve">Table 2. Wall-to-wall any-LSOG area and pairwise agreement across three independent maps over the study area.</w:t>
      </w:r>
    </w:p>
    <w:p>
      <w:pPr>
        <w:spacing w:after="40" w:before="120"/>
        <w:jc w:val="center"/>
      </w:pPr>
      <w:r>
        <w:drawing>
          <wp:inline distT="0" distB="0" distL="0" distR="0">
            <wp:extent cx="4114800" cy="5448300"/>
            <wp:effectExtent t="0" r="0" b="0" l="0"/>
            <wp:docPr id="1" name="Fig. 1. Cross-map disagreement. (a) any-LSOG area by method (2.8-fold range); (b) the same 24-km window classified by each method; (c) only 21% of the flagged footprint is agreed by all three; (d) overlap of the top-priority protected hectares between maps (Jaccard 0.16-0.30)." descr="Fig. 1. Cross-map disagreement. (a) any-LSOG area by method (2.8-fold range); (b) the same 24-km window classified by each method; (c) only 21% of the flagged footprint is agreed by all three; (d) overlap of the top-priority protected hectares between maps (Jaccard 0.16-0.30)." title="Fig. 1.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5448300"/>
                    </a:xfrm>
                    <a:prstGeom prst="rect">
                      <a:avLst/>
                    </a:prstGeom>
                  </pic:spPr>
                </pic:pic>
              </a:graphicData>
            </a:graphic>
          </wp:inline>
        </w:drawing>
      </w:r>
    </w:p>
    <w:p>
      <w:pPr>
        <w:spacing w:after="200" w:before="60"/>
      </w:pPr>
      <w:r>
        <w:rPr>
          <w:i/>
          <w:iCs/>
          <w:color w:val="555555"/>
          <w:sz w:val="18"/>
          <w:szCs w:val="18"/>
        </w:rPr>
        <w:t xml:space="preserve">Fig. 1.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pPr>
      <w:r>
        <w:t xml:space="preserve">4.  The canopy signal maps big-tree forest, not old growth</w:t>
      </w:r>
    </w:p>
    <w:p>
      <w:pPr>
        <w:spacing w:after="160" w:line="300"/>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quantifiable from ground inventory (Section 5): roughly 12.5% of Maine forest carries substantial large-tree basal area, but only about 3.9% meets a stand-age criterion for old forest, so big-tree forest is about three times more extensive than ground-defined old forest. A canopy- or height-based classifier that keys on the big-tree, tall-canopy signal will therefore tend to over-include relative to a structural or age-based definition, consistent with the among-method spread in Section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CV R-squared from 8 LiDAR metrics</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0.68</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0.59</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0.51</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0.24</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0.20</w:t>
            </w:r>
          </w:p>
        </w:tc>
      </w:tr>
    </w:tbl>
    <w:p>
      <w:pPr>
        <w:spacing w:after="200" w:before="60"/>
      </w:pPr>
      <w:r>
        <w:rPr>
          <w:i/>
          <w:iCs/>
          <w:color w:val="555555"/>
          <w:sz w:val="18"/>
          <w:szCs w:val="18"/>
        </w:rPr>
        <w:t xml:space="preserve">Table 3. Cross-validated R-squared for predicting ground structural attributes from the eight LiDAR canopy metrics.</w:t>
      </w:r>
    </w:p>
    <w:p>
      <w:pPr>
        <w:pStyle w:val="Heading1"/>
      </w:pPr>
      <w:r>
        <w:t xml:space="preserve">5.  Ground-based inventory: the estimate, with the interval the map omits</w:t>
      </w:r>
    </w:p>
    <w:p>
      <w:pPr>
        <w:spacing w:after="160" w:line="300"/>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The point estimate for older forest brackets the published LS+OGL figure of 3.9%, which is reassuring, but the original analysis reported that figure without an interval; the ground-based gold standard places it in a range of roughly 3.3 to 4.6%, and that uncertainty is exactly what a $200-300 million prioritization should carry.</w:t>
      </w:r>
    </w:p>
    <w:p>
      <w:pPr>
        <w:spacing w:after="160" w:line="300"/>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FIA design-based stock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2). The northern units show the same increases; only the oldest class (age &gt;= 150 yr) in the north declines slightly. Both statements can be true at once: LSOG stands are harvested at roughly 2% per year, and the total older-forest stock is not declining, because aging more than replaces the hectares removed, consistent with regional syntheses (Birdsey et al. 2025). Where a rate of loss is invoked to convey urgency, the flux and the stock should be distinguished.</w:t>
      </w:r>
    </w:p>
    <w:p>
      <w:pPr>
        <w:spacing w:after="160" w:line="300"/>
        <w:jc w:val="both"/>
      </w:pPr>
      <w:r>
        <w:rPr>
          <w:sz w:val="22"/>
          <w:szCs w:val="22"/>
        </w:rPr>
        <w:t xml:space="preserve">Finally, the publicly available spaceborne canopy-height products covering the study area (Potapov et al. 2021; Lang et al. 2023), although cited in passing in the original introduction, are not used as an independent benchmark. They are coarser than airborne LiDAR but global, repeatable, and free, and they provide the kind of independent cross-check, illustrated in Section 3, that a single airborne map otherwise lacks.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Trend %/yr [95% CI]</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+0.19 [0.15, 0.23]</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+0.065 [0.054, 0.075]</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+0.000 [-0.005, 0.006]</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+0.17 [0.15, 0.18]</w:t>
            </w:r>
          </w:p>
        </w:tc>
      </w:tr>
    </w:tbl>
    <w:p>
      <w:pPr>
        <w:spacing w:after="200" w:before="60"/>
      </w:pPr>
      <w:r>
        <w:rPr>
          <w:i/>
          <w:iCs/>
          <w:color w:val="555555"/>
          <w:sz w:val="18"/>
          <w:szCs w:val="18"/>
        </w:rPr>
        <w:t xml:space="preserve">Table 4. FIA design-based older-forest area (2024) with 95% CI, statewide and in the northern timberland units, with 2003-2024 trend.</w:t>
      </w:r>
    </w:p>
    <w:p>
      <w:pPr>
        <w:spacing w:after="40" w:before="120"/>
        <w:jc w:val="center"/>
      </w:pPr>
      <w:r>
        <w:drawing>
          <wp:inline distT="0" distB="0" distL="0" distR="0">
            <wp:extent cx="4343400" cy="2581275"/>
            <wp:effectExtent t="0" r="0" b="0" l="0"/>
            <wp:docPr id="1" name="Fig. 2. FIA design-based older-forest area (stand age &gt;= 120 yr) for Maine, 2003-2024, with 95% confidence intervals. The stock rises while total forestland area is flat." descr="Fig. 2. FIA design-based older-forest area (stand age &gt;= 120 yr) for Maine, 2003-2024, with 95% confidence intervals. The stock rises while total forestland area is flat." title="Fig. 2. FIA design-based older-forest area (stand age &gt;= 120 yr) for Maine, 2003-2024, with 95% confidence intervals. The stock rises while total forestland area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43400" cy="2581275"/>
                    </a:xfrm>
                    <a:prstGeom prst="rect">
                      <a:avLst/>
                    </a:prstGeom>
                  </pic:spPr>
                </pic:pic>
              </a:graphicData>
            </a:graphic>
          </wp:inline>
        </w:drawing>
      </w:r>
    </w:p>
    <w:p>
      <w:pPr>
        <w:spacing w:after="200" w:before="60"/>
      </w:pPr>
      <w:r>
        <w:rPr>
          <w:i/>
          <w:iCs/>
          <w:color w:val="555555"/>
          <w:sz w:val="18"/>
          <w:szCs w:val="18"/>
        </w:rPr>
        <w:t xml:space="preserve">Fig. 2. FIA design-based older-forest area (stand age &gt;= 120 yr) for Maine, 2003-2024, with 95% confidence intervals. The stock rises while total forestland area is flat.</w:t>
      </w:r>
    </w:p>
    <w:p>
      <w:pPr>
        <w:pStyle w:val="Heading1"/>
      </w:pPr>
      <w:r>
        <w:t xml:space="preserve">6.  Implications</w:t>
      </w:r>
    </w:p>
    <w:p>
      <w:pPr>
        <w:spacing w:after="160" w:line="300"/>
        <w:jc w:val="both"/>
      </w:pPr>
      <w:r>
        <w:rPr>
          <w:sz w:val="22"/>
          <w:szCs w:val="22"/>
        </w:rPr>
        <w:t xml:space="preserve">None of the above argues against mapping LSOG with LiDAR, nor against conserving older forest in Maine, which we support. It argues that a single classification, however well trained, is not a sufficient basis for parcel-level expenditures of the magnitude now contemplated, and that three practices should accompany its policy use. First, LSOG extent should be reported as a range across methods and with the design-based sampling interval, rather than as a single number; the ground-based estimate of older forest, 3.9% [3.3, 4.6], is an example. Second, before hectares are prioritized for acquisition or enrolled in markets, the map should be checked against at least one independent product and field-verified at the parcel scale, as the authors themselves recommend for management decisions. Third, where a rate of loss is invoked, the harvest flux and the net stock should be distinguished, because they point in opposite directions here. The Hagan et al. map is a useful and reproducible product; our point is that its usefulness for high-stakes allocation depends on the cross-map accuracy assessment and uncertainty characterization that should now accompany it.</w:t>
      </w:r>
    </w:p>
    <w:p>
      <w:pPr>
        <w:pStyle w:val="Heading1"/>
      </w:pPr>
      <w:r>
        <w:t xml:space="preserve">Data and code availability</w:t>
      </w:r>
    </w:p>
    <w:p>
      <w:pPr>
        <w:spacing w:after="160" w:line="300"/>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pPr>
      <w:r>
        <w:t xml:space="preserve">References</w:t>
      </w:r>
    </w:p>
    <w:p>
      <w:pPr>
        <w:spacing w:after="120"/>
        <w:ind w:left="360" w:hanging="360"/>
      </w:pPr>
      <w:r>
        <w:rPr>
          <w:sz w:val="20"/>
          <w:szCs w:val="20"/>
        </w:rPr>
        <w:t xml:space="preserve">Birdsey, R., et al. 2025. [northeastern old-growth: aging gains versus harvest losses]. (verify full citation).</w:t>
      </w:r>
    </w:p>
    <w:p>
      <w:pPr>
        <w:spacing w:after="120"/>
        <w:ind w:left="360" w:hanging="360"/>
      </w:pPr>
      <w:r>
        <w:rPr>
          <w:sz w:val="20"/>
          <w:szCs w:val="20"/>
        </w:rPr>
        <w:t xml:space="preserve">Box, G. E. P. 1976. Science and statistics. Journal of the American Statistical Association 71:791-799.</w:t>
      </w:r>
    </w:p>
    <w:p>
      <w:pPr>
        <w:spacing w:after="120"/>
        <w:ind w:left="360" w:hanging="360"/>
      </w:pPr>
      <w:r>
        <w:rPr>
          <w:sz w:val="20"/>
          <w:szCs w:val="20"/>
        </w:rPr>
        <w:t xml:space="preserve">Hagan, J. M., B. Shamgochian, M. M. L. Taylor, and J. M. Reed. 2026. Using LiDAR to quantify, map, and conserve late-successional and old-growth forest in Maine, USA. Ecosphere 17:e70670.</w:t>
      </w:r>
    </w:p>
    <w:p>
      <w:pPr>
        <w:spacing w:after="120"/>
        <w:ind w:left="360" w:hanging="360"/>
      </w:pPr>
      <w:r>
        <w:rPr>
          <w:sz w:val="20"/>
          <w:szCs w:val="20"/>
        </w:rPr>
        <w:t xml:space="preserve">Lang, N., et al. 2023. A high-resolution canopy height model of the Earth. Nature Ecology &amp; Evolution. (verify).</w:t>
      </w:r>
    </w:p>
    <w:p>
      <w:pPr>
        <w:spacing w:after="120"/>
        <w:ind w:left="360" w:hanging="360"/>
      </w:pPr>
      <w:r>
        <w:rPr>
          <w:sz w:val="20"/>
          <w:szCs w:val="20"/>
        </w:rPr>
        <w:t xml:space="preserve">Potapov, P., et al. 2021. Mapping global forest canopy height through GEDI and Landsat. Remote Sensing of Environment 253:112165.</w:t>
      </w:r>
    </w:p>
    <w:p>
      <w:pPr>
        <w:spacing w:after="120"/>
        <w:ind w:left="360" w:hanging="360"/>
      </w:pPr>
      <w:r>
        <w:rPr>
          <w:sz w:val="20"/>
          <w:szCs w:val="20"/>
        </w:rPr>
        <w:t xml:space="preserve">Stanke, H., A. O. Finley, A. S. Weed, B. F. Walters, and G. M. Domke. 2020. rFIA: An R package for estimation of forest attributes with the FIA database. Environmental Modelling &amp; Software 127:104664.</w:t>
      </w:r>
    </w:p>
    <w:p>
      <w:pPr>
        <w:spacing w:after="120"/>
        <w:ind w:left="360" w:hanging="360"/>
      </w:pPr>
      <w:r>
        <w:rPr>
          <w:sz w:val="20"/>
          <w:szCs w:val="20"/>
        </w:rPr>
        <w:t xml:space="preserve">Thompson, J. R., A. Daigneault, J. Plisinski, I. Moon, and J. Norton. 2026. Pathways for Protecting Maine's Remaining Late-Successional and Old-Growth Forests. Property and Environment Research Center.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 Comment on Hagan et al. (2026)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9c72d78270b0db929ba30b2c65a1ae8c2d892d4.png"/><Relationship Id="rId9" Type="http://schemas.openxmlformats.org/officeDocument/2006/relationships/image" Target="media/10a937fad2b6663cce3e5be039a30c2b8d21f8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2026-06-10T09:59:28.379Z</dcterms:created>
  <dcterms:modified xsi:type="dcterms:W3CDTF">2026-06-10T09:59:28.394Z</dcterms:modified>
</cp:coreProperties>
</file>

<file path=docProps/custom.xml><?xml version="1.0" encoding="utf-8"?>
<Properties xmlns="http://schemas.openxmlformats.org/officeDocument/2006/custom-properties" xmlns:vt="http://schemas.openxmlformats.org/officeDocument/2006/docPropsVTypes"/>
</file>