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p>
      <w:pPr>
        <w:keepNext/>
        <w:spacing w:after="50" w:before="12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w:t>
            </w:r>
          </w:p>
        </w:tc>
      </w:tr>
    </w:tbl>
    <w:p>
      <w:pPr>
        <w:pStyle w:val="Heading1"/>
      </w:pPr>
      <w:r>
        <w:t xml:space="preserve">Table S2. FIA design-based sensitivity to the large-tree threshold</w:t>
      </w:r>
    </w:p>
    <w:p>
      <w:pPr>
        <w:keepNext/>
        <w:spacing w:after="50" w:before="120"/>
      </w:pPr>
      <w:r>
        <w:rPr>
          <w:i/>
          <w:iCs/>
          <w:color w:val="555555"/>
          <w:sz w:val="18"/>
          <w:szCs w:val="18"/>
        </w:rPr>
        <w:t xml:space="preserve">Table S2. Design-based older-forest area (large-tree basal area domain) at three thresholds, with 95% CI and 2003-2024 trend. The increasing trend is robust to the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0.133</w:t>
            </w:r>
          </w:p>
        </w:tc>
      </w:tr>
    </w:tbl>
    <w:p>
      <w:pPr>
        <w:pStyle w:val="Heading1"/>
      </w:pPr>
      <w:r>
        <w:t xml:space="preserve">Table S2b. FIA older forest by ownership (private commercial vs public)</w:t>
      </w:r>
    </w:p>
    <w:p>
      <w:pPr>
        <w:keepNext/>
        <w:spacing w:after="50" w:before="120"/>
      </w:pPr>
      <w:r>
        <w:rPr>
          <w:i/>
          <w:iCs/>
          <w:color w:val="555555"/>
          <w:sz w:val="18"/>
          <w:szCs w:val="18"/>
        </w:rPr>
        <w:t xml:space="preserve">Table S2b. Design-based older-forest area by ownership group with 95% CI and 2003-2024 trend. Older forest is rising on private commercial timberland as well as public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0.044</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0.309</w:t>
            </w:r>
          </w:p>
        </w:tc>
      </w:tr>
    </w:tbl>
    <w:p>
      <w:pPr>
        <w:pStyle w:val="Heading1"/>
      </w:pPr>
      <w:r>
        <w:t xml:space="preserve">Table S3. Random forest stochasticity (20-seed ensemble)</w:t>
      </w:r>
    </w:p>
    <w:p>
      <w:pPr>
        <w:keepNext/>
        <w:spacing w:after="50" w:before="120"/>
      </w:pPr>
      <w:r>
        <w:rPr>
          <w:i/>
          <w:iCs/>
          <w:color w:val="555555"/>
          <w:sz w:val="18"/>
          <w:szCs w:val="18"/>
        </w:rPr>
        <w:t xml:space="preserve">Table S3. Mean, SD, and range across 20 random forest seeds for reproduced accuracy, wall-to-wall area, and cross-validation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max</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95.032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22.1</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4.339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185,787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0.079</w:t>
            </w:r>
          </w:p>
        </w:tc>
      </w:tr>
    </w:tbl>
    <w:p>
      <w:pPr>
        <w:pStyle w:val="Heading1"/>
      </w:pPr>
      <w:r>
        <w:t xml:space="preserve">Table S4. Cross-method disagreement by owner class</w:t>
      </w:r>
    </w:p>
    <w:p>
      <w:pPr>
        <w:keepNext/>
        <w:spacing w:after="50" w:before="120"/>
      </w:pPr>
      <w:r>
        <w:rPr>
          <w:i/>
          <w:iCs/>
          <w:color w:val="555555"/>
          <w:sz w:val="18"/>
          <w:szCs w:val="18"/>
        </w:rPr>
        <w:t xml:space="preserve">Table S4. Of the LSOG flagged by any method, the share that is contested (flagged by one or two methods, not all) by owner class. Disagreement is pervasive across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 contested</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99.3</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99.6</w:t>
            </w:r>
          </w:p>
        </w:tc>
      </w:tr>
    </w:tbl>
    <w:p>
      <w:pPr>
        <w:pStyle w:val="Heading1"/>
      </w:pPr>
      <w:r>
        <w:t xml:space="preserve">Table S5. TreeMap LSOG time series</w:t>
      </w:r>
    </w:p>
    <w:p>
      <w:pPr>
        <w:keepNext/>
        <w:spacing w:after="50" w:before="120"/>
      </w:pPr>
      <w:r>
        <w:rPr>
          <w:i/>
          <w:iCs/>
          <w:color w:val="555555"/>
          <w:sz w:val="18"/>
          <w:szCs w:val="18"/>
        </w:rPr>
        <w:t xml:space="preserve">Table S5. TreeMap-imputed LSOG area over 2016-2022 (native 30 m), Maine unorganized townships.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known ha</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3,765,076</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3,888,375</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3,876,445</w:t>
            </w:r>
          </w:p>
        </w:tc>
      </w:tr>
    </w:tbl>
    <w:p>
      <w:pPr>
        <w:pStyle w:val="Heading1"/>
      </w:pPr>
      <w:r>
        <w:t xml:space="preserve">Table S6. LiDAR prediction of structure, and old-growth discriminators</w:t>
      </w:r>
    </w:p>
    <w:p>
      <w:pPr>
        <w:keepNext/>
        <w:spacing w:after="50" w:before="12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0.23</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0.264</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0.526</w:t>
            </w:r>
          </w:p>
        </w:tc>
      </w:tr>
    </w:tbl>
    <w:p>
      <w:pPr>
        <w:keepNext/>
        <w:spacing w:after="50" w:before="120"/>
      </w:pPr>
      <w:r>
        <w:rPr>
          <w:i/>
          <w:iCs/>
          <w:color w:val="555555"/>
          <w:sz w:val="18"/>
          <w:szCs w:val="18"/>
        </w:rPr>
        <w:t xml:space="preserve">Table S6b. Old-growth discriminators (random forest variable importance) across LiDAR and ground-structure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importance (MDA)</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undefined</w:t>
            </w:r>
          </w:p>
        </w:tc>
      </w:tr>
    </w:tbl>
    <w:p>
      <w:pPr>
        <w:pStyle w:val="Heading1"/>
      </w:pPr>
      <w:r>
        <w:t xml:space="preserve">Table S7. Reproduced random forest out-of-bag confusion matrix</w:t>
      </w:r>
    </w:p>
    <w:p>
      <w:pPr>
        <w:keepNext/>
        <w:spacing w:after="50" w:before="120"/>
      </w:pPr>
      <w:r>
        <w:rPr>
          <w:i/>
          <w:iCs/>
          <w:color w:val="555555"/>
          <w:sz w:val="18"/>
          <w:szCs w:val="18"/>
        </w:rPr>
        <w:t xml:space="preserve">Table S7. Out-of-bag confusion matrix (counts) for the reproduced airborne-LiDAR random forest. Rows are field-assigned classes, columns predicted. True old growth is recovered only about a quarter of the time (Fig. 1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True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Not 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Old-growth</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Trans LS</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Not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Old-growth</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Trans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59</w:t>
            </w:r>
          </w:p>
        </w:tc>
      </w:tr>
    </w:tbl>
    <w:p>
      <w:pPr>
        <w:pStyle w:val="Heading1"/>
      </w:pPr>
      <w:r>
        <w:t xml:space="preserve">Table S8. Sensitivity of the classification to the probability cutoff</w:t>
      </w:r>
    </w:p>
    <w:p>
      <w:pPr>
        <w:keepNext/>
        <w:spacing w:after="50" w:before="120"/>
      </w:pPr>
      <w:r>
        <w:rPr>
          <w:i/>
          <w:iCs/>
          <w:color w:val="555555"/>
          <w:sz w:val="18"/>
          <w:szCs w:val="18"/>
        </w:rPr>
        <w:t xml:space="preserve">Table S8. As the random forest probability cutoff for calling LSOG varies, the fraction of labelled plots called LSOG, sensitivity, specificity, overall accuracy, and the true-skill statistic (TSS) all shift (Fig. 2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cutoff</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frac called LSOG</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sensitivity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specificity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accuracy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TSS</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0.696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0.703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0.718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0.823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0.778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0.728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0.862</w:t>
            </w:r>
          </w:p>
        </w:tc>
      </w:tr>
    </w:tbl>
    <w:p>
      <w:pPr>
        <w:pStyle w:val="Heading1"/>
      </w:pPr>
      <w:r>
        <w:t xml:space="preserve">Table S9. Independent third-party old-growth comparison (Pelz et al. 2023)</w:t>
      </w:r>
    </w:p>
    <w:p>
      <w:pPr>
        <w:keepNext/>
        <w:spacing w:after="50" w:before="120"/>
      </w:pPr>
      <w:r>
        <w:rPr>
          <w:i/>
          <w:iCs/>
          <w:color w:val="555555"/>
          <w:sz w:val="18"/>
          <w:szCs w:val="18"/>
        </w:rPr>
        <w:t xml:space="preserve">Table S9. Plot-level agreement (Cohen's kappa) between the field-structure classification used here and the U.S. Forest Service national old-growth inventory (Pelz et al. 2023), evaluated on the FIA plots where both apply: National Forest System land in Maine, New Hampshire, New York, and Vermont (n about 925, concentrated in NH and VT because Maine holds little federal forest). Agreement is weak even between two independently authored operationalizations of old forest, corroborating the cross-map disagreement documented in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26"/>
        <w:gridCol w:w="2434"/>
      </w:tblGrid>
      <w:tr>
        <w:trPr>
          <w:cantSplit/>
        </w:trPr>
        <w:tc>
          <w:tcPr>
            <w:tcW w:type="dxa" w:w="6926"/>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Comparison</w:t>
            </w:r>
          </w:p>
        </w:tc>
        <w:tc>
          <w:tcPr>
            <w:tcW w:type="dxa" w:w="2434"/>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Cohen's kappa</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v5.1 old growth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v5.1 late-successional + old growth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v5.1 any-LSOG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0.12</w:t>
            </w:r>
          </w:p>
        </w:tc>
      </w:tr>
    </w:tbl>
    <w:p>
      <w:pPr>
        <w:pStyle w:val="Heading1"/>
      </w:pPr>
      <w:r>
        <w:t xml:space="preserve">Table S10. FIA older-forest trend clipped to the published map area of interest</w:t>
      </w:r>
    </w:p>
    <w:p>
      <w:pPr>
        <w:keepNext/>
        <w:spacing w:after="50" w:before="120"/>
      </w:pPr>
      <w:r>
        <w:rPr>
          <w:i/>
          <w:iCs/>
          <w:color w:val="555555"/>
          <w:sz w:val="18"/>
          <w:szCs w:val="18"/>
        </w:rPr>
        <w:t xml:space="preserve">Table S10. FIA design-based older-forest area within Hagan et al.'s exact area-of-interest polygon (the unorganized townships, about 4.28 million ha), by rFIA spatial estimation (polys), 2003 to 2024. Within the map's own footprint older forest is increasing on every measure, with all weighted-regression slopes positive and 95% intervals excluding zero. This confirms the statewide trend is not masking a within-UT decline.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1800"/>
        <w:gridCol w:w="24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Ground criterion</w:t>
            </w:r>
          </w:p>
        </w:tc>
        <w:tc>
          <w:tcPr>
            <w:tcW w:type="dxa" w:w="180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2003 (%)</w:t>
            </w:r>
          </w:p>
        </w:tc>
        <w:tc>
          <w:tcPr>
            <w:tcW w:type="dxa" w:w="180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240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4.0</w:t>
            </w:r>
          </w:p>
        </w:tc>
        <w:tc>
          <w:tcPr>
            <w:tcW w:type="dxa" w:w="24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+0.058 [0.043, 0.073]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100 yr</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13.2</w:t>
            </w:r>
          </w:p>
        </w:tc>
        <w:tc>
          <w:tcPr>
            <w:tcW w:type="dxa" w:w="24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+0.199 [0.149, 0.249]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 ft-sq/ac</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9.7</w:t>
            </w:r>
          </w:p>
        </w:tc>
        <w:tc>
          <w:tcPr>
            <w:tcW w:type="dxa" w:w="24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+0.052 [0.036, 0.069]</w:t>
            </w:r>
          </w:p>
        </w:tc>
      </w:tr>
    </w:tbl>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p>
      <w:pPr>
        <w:pStyle w:val="Heading1"/>
      </w:pPr>
      <w:r>
        <w:t xml:space="preserve">Figure S2. Maine study-area ensemble (agreement and uncertainty)</w:t>
      </w:r>
    </w:p>
    <w:p>
      <w:pPr>
        <w:spacing w:after="40" w:before="80"/>
        <w:jc w:val="center"/>
      </w:pPr>
      <w:r>
        <w:drawing>
          <wp:inline distT="0" distB="0" distL="0" distR="0">
            <wp:extent cx="2857500" cy="4972050"/>
            <wp:effectExtent t="0" r="0" b="0" l="0"/>
            <wp:docPr id="1" name="me_ens" descr="me_ens" title="me_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972050"/>
                    </a:xfrm>
                    <a:prstGeom prst="rect">
                      <a:avLst/>
                    </a:prstGeom>
                  </pic:spPr>
                </pic:pic>
              </a:graphicData>
            </a:graphic>
          </wp:inline>
        </w:drawing>
      </w:r>
    </w:p>
    <w:p>
      <w:pPr>
        <w:spacing w:after="200" w:before="50"/>
      </w:pPr>
      <w:r>
        <w:rPr>
          <w:i/>
          <w:iCs/>
          <w:color w:val="555555"/>
          <w:sz w:val="18"/>
          <w:szCs w:val="18"/>
        </w:rPr>
        <w:t xml:space="preserve">Figure S2. Prototype multi-method ensemble for the Maine study area, aggregated to 8 km hexagons: (a) agreement score (unweighted mean of three method memberships) and (b) uncertainty (standard deviation). The companion New England version is Fig. 7 of the Comment.</w:t>
      </w:r>
    </w:p>
    <w:p>
      <w:pPr>
        <w:pStyle w:val="Heading1"/>
      </w:pPr>
      <w:r>
        <w:t xml:space="preserve">Figure S4. Older forest over time under different definitions and thresholds</w:t>
      </w:r>
    </w:p>
    <w:p>
      <w:pPr>
        <w:spacing w:after="40" w:before="80"/>
        <w:jc w:val="center"/>
      </w:pPr>
      <w:r>
        <w:drawing>
          <wp:inline distT="0" distB="0" distL="0" distR="0">
            <wp:extent cx="4457700" cy="2971800"/>
            <wp:effectExtent t="0" r="0" b="0" l="0"/>
            <wp:docPr id="1" name="tt" descr="tt" title="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971800"/>
                    </a:xfrm>
                    <a:prstGeom prst="rect">
                      <a:avLst/>
                    </a:prstGeom>
                  </pic:spPr>
                </pic:pic>
              </a:graphicData>
            </a:graphic>
          </wp:inline>
        </w:drawing>
      </w:r>
    </w:p>
    <w:p>
      <w:pPr>
        <w:spacing w:after="200" w:before="50"/>
      </w:pPr>
      <w:r>
        <w:rPr>
          <w:i/>
          <w:iCs/>
          <w:color w:val="555555"/>
          <w:sz w:val="18"/>
          <w:szCs w:val="18"/>
        </w:rPr>
        <w:t xml:space="preserve">Figure S4. Maine older forest over time (FIA design-based) under four ground definitions: stand age &gt;= 100, &gt;= 120, and &gt;= 150 yr, and large-tree basal area &gt;= 30 ft-sq/ac, each with a 95% band. The level depends on the criterion, but every definition increases over 2003-2024.</w:t>
      </w:r>
    </w:p>
    <w:p>
      <w:pPr>
        <w:pStyle w:val="Heading1"/>
      </w:pPr>
      <w:r>
        <w:t xml:space="preserve">Figure S3. Maine ensemble bivariate (agreement by uncertainty)</w:t>
      </w:r>
    </w:p>
    <w:p>
      <w:pPr>
        <w:spacing w:after="40" w:before="80"/>
        <w:jc w:val="center"/>
      </w:pPr>
      <w:r>
        <w:drawing>
          <wp:inline distT="0" distB="0" distL="0" distR="0">
            <wp:extent cx="3143250" cy="3143250"/>
            <wp:effectExtent t="0" r="0" b="0" l="0"/>
            <wp:docPr id="1" name="bivariate" descr="bivariate" title="bivari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143250"/>
                    </a:xfrm>
                    <a:prstGeom prst="rect">
                      <a:avLst/>
                    </a:prstGeom>
                  </pic:spPr>
                </pic:pic>
              </a:graphicData>
            </a:graphic>
          </wp:inline>
        </w:drawing>
      </w:r>
    </w:p>
    <w:p>
      <w:pPr>
        <w:spacing w:after="200" w:before="50"/>
      </w:pPr>
      <w:r>
        <w:rPr>
          <w:i/>
          <w:iCs/>
          <w:color w:val="555555"/>
          <w:sz w:val="18"/>
          <w:szCs w:val="18"/>
        </w:rPr>
        <w:t xml:space="preserve">Figure S3. Bivariate map of the prototype ensemble agreement score (horizontal) by uncertainty (vertical) for the Maine study area, tercile breaks. The defensible acquisition targets are the high-agreement, low-uncertainty hexes; most of the landscape carries high uncertainty.</w:t>
      </w:r>
    </w:p>
    <w:p>
      <w:pPr>
        <w:pStyle w:val="Heading1"/>
      </w:pPr>
      <w:r>
        <w:t xml:space="preserve">Figure S5. Where LSOG sits: harvest probability, terrain, and disturbance</w:t>
      </w:r>
    </w:p>
    <w:p>
      <w:pPr>
        <w:spacing w:after="40" w:before="80"/>
        <w:jc w:val="center"/>
      </w:pPr>
      <w:r>
        <w:drawing>
          <wp:inline distT="0" distB="0" distL="0" distR="0">
            <wp:extent cx="4457700" cy="1809750"/>
            <wp:effectExtent t="0" r="0" b="0" l="0"/>
            <wp:docPr id="1" name="drv" descr="drv" title="dr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1809750"/>
                    </a:xfrm>
                    <a:prstGeom prst="rect">
                      <a:avLst/>
                    </a:prstGeom>
                  </pic:spPr>
                </pic:pic>
              </a:graphicData>
            </a:graphic>
          </wp:inline>
        </w:drawing>
      </w:r>
    </w:p>
    <w:p>
      <w:pPr>
        <w:spacing w:after="200" w:before="50"/>
      </w:pPr>
      <w:r>
        <w:rPr>
          <w:i/>
          <w:iCs/>
          <w:color w:val="555555"/>
          <w:sz w:val="18"/>
          <w:szCs w:val="18"/>
        </w:rPr>
        <w:t xml:space="preserve">Figure S5. Mapped-LSOG share by tercile of three landscape drivers over the Maine AOI (n = 3.8 million pixels), using the airborne Hagan map as the LSOG layer: (a) modeled annual harvest probability (HCS v5 CONUS, clearcut plus partial), (b) slope (a cost-and-logistics constraint on harvesting), and (c) disturbance probability. Mapped LSOG rises with all three: it is more merchantable (harvest-probability share 13% to 34%) yet on steeper ground (12% to 37%) and in more disturbance-prone settings (17% to 35%). Mean values under LSOG versus non-LSOG: harvest probability 0.024 vs 0.021, slope 5.3 vs 3.0 degrees, disturbance 0.128 vs 0.111. Attractiveness and constraint pull in opposite directions, so harvest risk is heterogeneous rather than uniform.</w:t>
      </w:r>
    </w:p>
    <w:p>
      <w:pPr>
        <w:pStyle w:val="Heading1"/>
      </w:pPr>
      <w:r>
        <w:t xml:space="preserve">Figure S6. A Landsat continuity layer for true-LSOG mapping</w:t>
      </w:r>
    </w:p>
    <w:p>
      <w:pPr>
        <w:spacing w:after="40" w:before="80"/>
        <w:jc w:val="center"/>
      </w:pPr>
      <w:r>
        <w:drawing>
          <wp:inline distT="0" distB="0" distL="0" distR="0">
            <wp:extent cx="2857500" cy="4762500"/>
            <wp:effectExtent t="0" r="0" b="0" l="0"/>
            <wp:docPr id="1" name="cont" descr="cont" title="c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762500"/>
                    </a:xfrm>
                    <a:prstGeom prst="rect">
                      <a:avLst/>
                    </a:prstGeom>
                  </pic:spPr>
                </pic:pic>
              </a:graphicData>
            </a:graphic>
          </wp:inline>
        </w:drawing>
      </w:r>
    </w:p>
    <w:p>
      <w:pPr>
        <w:spacing w:after="200" w:before="50"/>
      </w:pPr>
      <w:r>
        <w:rPr>
          <w:i/>
          <w:iCs/>
          <w:color w:val="555555"/>
          <w:sz w:val="18"/>
          <w:szCs w:val="18"/>
        </w:rPr>
        <w:t xml:space="preserve">Figure S6. The temporal-continuity axis made mappable from Landsat (Hansen Global Forest Change, 2001-2023), 8 km hexagons: (a) fraction of each hex with stand-replacing canopy loss since 2001; (b) fraction of the canopy-mapped LSOG that is intact over the record. Of canopy-mapped LSOG, 24% shows stand-replacing disturbance since 2001 (failing strict continuity) and 76% is intact; partial harvests and pre-2001 entry (legacy skid trails) are not captured, so this is a lenient test.</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image" Target="media/cd80b8d3a2ca93b5d5c630edf2e4fc30e5b354ef.png"/><Relationship Id="rId9" Type="http://schemas.openxmlformats.org/officeDocument/2006/relationships/image" Target="media/59bfe01ffbf65dafdfb3cead38dc9d59c788928e.png"/><Relationship Id="rId10" Type="http://schemas.openxmlformats.org/officeDocument/2006/relationships/image" Target="media/a24e9c842d20c49d1794ca850b07fb1a51c760c5.png"/><Relationship Id="rId11" Type="http://schemas.openxmlformats.org/officeDocument/2006/relationships/image" Target="media/2f96289211e42256a8ca9d4e669655befa26b5a4.png"/><Relationship Id="rId12" Type="http://schemas.openxmlformats.org/officeDocument/2006/relationships/image" Target="media/808327a93b6735bf8c19399cebc35a23442682b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2026-06-12T08:26:38.034Z</dcterms:created>
  <dcterms:modified xsi:type="dcterms:W3CDTF">2026-06-12T08:26:38.035Z</dcterms:modified>
</cp:coreProperties>
</file>

<file path=docProps/custom.xml><?xml version="1.0" encoding="utf-8"?>
<Properties xmlns="http://schemas.openxmlformats.org/officeDocument/2006/custom-properties" xmlns:vt="http://schemas.openxmlformats.org/officeDocument/2006/docPropsVTypes"/>
</file>