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30" w:line="28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30" w:line="28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30" w:line="28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30" w:line="28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Sections 8 and 9 give implications and recommendations.</w:t>
      </w:r>
    </w:p>
    <w:p>
      <w:pPr>
        <w:pStyle w:val="Heading1"/>
        <w:keepNext/>
      </w:pPr>
      <w:r>
        <w:t xml:space="preserve">2.  Training accuracy is high for every approach, and is not the issue</w:t>
      </w:r>
    </w:p>
    <w:p>
      <w:pPr>
        <w:spacing w:after="130" w:line="28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30" w:line="28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plots called LSOG, the overall accuracy, and the true-skill statistic all shift substantially (Fig. 2), so the single threshold embedded in a delivered map is itself a consequential, and rarely reported, choice.</w:t>
      </w:r>
    </w:p>
    <w:p>
      <w:pPr>
        <w:keepNext/>
        <w:spacing w:after="40" w:before="120"/>
        <w:jc w:val="center"/>
      </w:pPr>
      <w:r>
        <w:drawing>
          <wp:inline distT="0" distB="0" distL="0" distR="0">
            <wp:extent cx="4095750" cy="32766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2766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all change materially across plausible cutoffs." descr="Fig. 2. Sensitivity of the classification to the random forest probability cutoff: the fraction of labelled plots called LSOG, overall accuracy, and the true-skill statistic (TSS) all change materially across plausible cutoffs." title="Fig. 2. Sensitivity of the classification to the random forest probability cutoff: the fraction of labelled plots called LSOG, overall accuracy, and the true-skill statistic (TSS) all change materially across plausible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all change materially across plausible cutoffs.</w:t>
      </w:r>
    </w:p>
    <w:p>
      <w:pPr>
        <w:pStyle w:val="Heading1"/>
        <w:keepNext/>
      </w:pPr>
      <w:r>
        <w:t xml:space="preserve">3.  High training accuracy does not produce map agreement</w:t>
      </w:r>
    </w:p>
    <w:p>
      <w:pPr>
        <w:spacing w:after="130" w:line="28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30" w:line="28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30" w:line="28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The canopy signal captures big trees better than old-growth structure</w:t>
      </w:r>
    </w:p>
    <w:p>
      <w:pPr>
        <w:spacing w:after="130" w:line="28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pStyle w:val="Heading1"/>
        <w:keepNext/>
      </w:pPr>
      <w:r>
        <w:t xml:space="preserve">5.  Ground-based inventory: the estimate, with the interval the map omits</w:t>
      </w:r>
    </w:p>
    <w:p>
      <w:pPr>
        <w:spacing w:after="130" w:line="28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30" w:line="28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4);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30" w:line="288"/>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3143250" cy="5076825"/>
            <wp:effectExtent t="0" r="0" b="0" l="0"/>
            <wp:docPr id="1" nam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5076825"/>
                    </a:xfrm>
                    <a:prstGeom prst="rect">
                      <a:avLst/>
                    </a:prstGeom>
                  </pic:spPr>
                </pic:pic>
              </a:graphicData>
            </a:graphic>
          </wp:inline>
        </w:drawing>
      </w:r>
    </w:p>
    <w:p>
      <w:pPr>
        <w:spacing w:after="160" w:before="60"/>
      </w:pPr>
      <w:r>
        <w:rPr>
          <w:i/>
          <w:iCs/>
          <w:color w:val="555555"/>
          <w:sz w:val="18"/>
          <w:szCs w:val="18"/>
        </w:rPr>
        <w:t xml:space="preserv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130" w:line="28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5,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5. Design-based older-forest area for the six New England states by stand age &gt;= 120 yr and large-tree basal area, with 95% confidence bands. Both measures are stable to increasing in every state; the gap between them widens from north to south." descr="Fig. 5. Design-based older-forest area for the six New England states by stand age &gt;= 120 yr and large-tree basal area, with 95% confidence bands. Both measures are stable to increasing in every state; the gap between them widens from north to south." title="Fig. 5. Design-based older-forest area for the six New England states by stand age &gt;= 120 yr and large-tree basal area, with 95% confidence bands. Both measures are stable to increasing in every state; the gap between them widens from north to so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5. Design-based older-forest area for the six New England states by stand age &gt;= 120 yr and large-tree basal area, with 95% confidence bands. Both measures are stable to increasing in every state; the gap between them widens from north to south.</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30" w:line="288"/>
        <w:jc w:val="both"/>
      </w:pPr>
      <w:r>
        <w:rPr>
          <w:sz w:val="22"/>
          <w:szCs w:val="22"/>
        </w:rPr>
        <w:t xml:space="preserve">A second question bears directly on the policy use of the map: how much older forest is already protected? Using FIA reserved status (RESERVCD, the legal withholding of land from harvest), only 11.9% [5.9, 17.9] of Maine older forest (stand age &gt;= 120 yr) is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already protected (FIA reserved status) and its ownership, design-based with 95% CI. Reserved older forest is almost entirely public; private older forest is essentially unprotected.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 (no sampled plots)</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 (no sampled plots)</w:t>
            </w:r>
          </w:p>
        </w:tc>
      </w:tr>
    </w:tbl>
    <w:p>
      <w:pPr>
        <w:pStyle w:val="Heading1"/>
        <w:keepNext/>
      </w:pPr>
      <w:r>
        <w:t xml:space="preserve">7.  A demonstrated prototype: ensemble probability and an uncertainty layer</w:t>
      </w:r>
    </w:p>
    <w:p>
      <w:pPr>
        <w:spacing w:after="130" w:line="288"/>
        <w:jc w:val="both"/>
      </w:pPr>
      <w:r>
        <w:rPr>
          <w:sz w:val="22"/>
          <w:szCs w:val="22"/>
        </w:rPr>
        <w:t xml:space="preserve">The recommendation to replace a single map with an ensemble and an explicit uncertainty layer is not hypothetical; we demonstrate it with the products already in hand. Combining the three independent operationalizations into a per-pixel ensemble LSOG membership, and taking the cross-method standard deviation as a per-pixel uncertainty, yields a probability surface and a companion uncertainty layer (Fig. 6, aggregated to 8 km hexagons for display; the per-pixel 100 m rasters are archived). The uncertainty is not uniform: it concentrates where the methods most disagree, and it is highest where ensemble probability is intermediate, the transitioning envelope that drives the cost. A bivariate view (Fig. 7) separates the small high-probability, low-uncertainty core, where the methods agree and acquisition would be defensible, from the much larger high-uncertainty zone where a single map should not by itself move a purchase. Producing this required only the three existing maps; the same ensemble could be standardized and extended across New England at low cost, letting a program prioritize by confidence rather than by one classifier, and converting the recommendation of Section 9 into routine practice.</w:t>
      </w:r>
    </w:p>
    <w:p>
      <w:pPr>
        <w:keepNext/>
        <w:spacing w:after="40" w:before="120"/>
        <w:jc w:val="center"/>
      </w:pPr>
      <w:r>
        <w:drawing>
          <wp:inline distT="0" distB="0" distL="0" distR="0">
            <wp:extent cx="2857500" cy="4972050"/>
            <wp:effectExtent t="0" r="0" b="0" l="0"/>
            <wp:docPr id="1" name="Fig. 6. A prototype ensemble (a) and uncertainty layer (b), aggregated to 8 km hexagons. Ensemble LSOG probability is the mean membership across the three methods; uncertainty is their standard deviation. Disagreement concentrates in the central and northern townships." descr="Fig. 6. A prototype ensemble (a) and uncertainty layer (b), aggregated to 8 km hexagons. Ensemble LSOG probability is the mean membership across the three methods; uncertainty is their standard deviation. Disagreement concentrates in the central and northern townships." title="Fig. 6. A prototype ensemble (a) and uncertainty layer (b), aggregated to 8 km hexagons. Ensemble LSOG probability is the mean membership across the three methods; uncertainty is their standard deviation. Disagreement concentrates in the central and northern tow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4972050"/>
                    </a:xfrm>
                    <a:prstGeom prst="rect">
                      <a:avLst/>
                    </a:prstGeom>
                  </pic:spPr>
                </pic:pic>
              </a:graphicData>
            </a:graphic>
          </wp:inline>
        </w:drawing>
      </w:r>
    </w:p>
    <w:p>
      <w:pPr>
        <w:spacing w:after="160" w:before="60"/>
      </w:pPr>
      <w:r>
        <w:rPr>
          <w:i/>
          <w:iCs/>
          <w:color w:val="555555"/>
          <w:sz w:val="18"/>
          <w:szCs w:val="18"/>
        </w:rPr>
        <w:t xml:space="preserve">Fig. 6. A prototype ensemble (a) and uncertainty layer (b), aggregated to 8 km hexagons. Ensemble LSOG probability is the mean membership across the three methods; uncertainty is their standard deviation. Disagreement concentrates in the central and northern townships.</w:t>
      </w:r>
    </w:p>
    <w:p>
      <w:pPr>
        <w:keepNext/>
        <w:spacing w:after="40" w:before="120"/>
        <w:jc w:val="center"/>
      </w:pPr>
      <w:r>
        <w:drawing>
          <wp:inline distT="0" distB="0" distL="0" distR="0">
            <wp:extent cx="3333750" cy="3333750"/>
            <wp:effectExtent t="0" r="0" b="0" l="0"/>
            <wp:docPr id="1" name="Fig. 7. Bivariate map of ensemble probability (horizontal) by uncertainty (vertical). The defensible acquisition targets are the high-probability, low-uncertainty hexes; most of the landscape carries high uncertainty where a single map should not drive a decision." descr="Fig. 7. Bivariate map of ensemble probability (horizontal) by uncertainty (vertical). The defensible acquisition targets are the high-probability, low-uncertainty hexes; most of the landscape carries high uncertainty where a single map should not drive a decision." title="Fig. 7. Bivariate map of ensemble probability (horizontal) by uncertainty (vertical). The defensible acquisition targets are the high-probability, low-uncertainty hexes; most of the landscape carries high uncertainty where a single map should not drive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3333750"/>
                    </a:xfrm>
                    <a:prstGeom prst="rect">
                      <a:avLst/>
                    </a:prstGeom>
                  </pic:spPr>
                </pic:pic>
              </a:graphicData>
            </a:graphic>
          </wp:inline>
        </w:drawing>
      </w:r>
    </w:p>
    <w:p>
      <w:pPr>
        <w:spacing w:after="160" w:before="60"/>
      </w:pPr>
      <w:r>
        <w:rPr>
          <w:i/>
          <w:iCs/>
          <w:color w:val="555555"/>
          <w:sz w:val="18"/>
          <w:szCs w:val="18"/>
        </w:rPr>
        <w:t xml:space="preserve">Fig. 7. Bivariate map of ensemble probability (horizontal) by uncertainty (vertical). The defensible acquisition targets are the high-probability, low-uncertainty hexes; most of the landscape carries high uncertainty where a single map should not drive a decision.</w:t>
      </w:r>
    </w:p>
    <w:p>
      <w:pPr>
        <w:pStyle w:val="Heading1"/>
        <w:keepNext/>
      </w:pPr>
      <w:r>
        <w:t xml:space="preserve">8.  Implications</w:t>
      </w:r>
    </w:p>
    <w:p>
      <w:pPr>
        <w:spacing w:after="130" w:line="28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9.  Recommendations for future research</w:t>
      </w:r>
    </w:p>
    <w:p>
      <w:pPr>
        <w:spacing w:after="130" w:line="28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w:t>
      </w:r>
    </w:p>
    <w:p>
      <w:pPr>
        <w:pStyle w:val="Heading1"/>
        <w:keepNext/>
      </w:pPr>
      <w:r>
        <w:t xml:space="preserve">Data and code availability</w:t>
      </w:r>
    </w:p>
    <w:p>
      <w:pPr>
        <w:spacing w:after="130" w:line="28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70" w:before="16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ee2b2d2fb21bda16e7231feb7312a0f462e8e040.png"/><Relationship Id="rId10" Type="http://schemas.openxmlformats.org/officeDocument/2006/relationships/image" Target="media/b9c72d78270b0db929ba30b2c65a1ae8c2d892d4.png"/><Relationship Id="rId11" Type="http://schemas.openxmlformats.org/officeDocument/2006/relationships/image" Target="media/0322ace7fd331ee5b4f2a14833d9dda2a443552d.png"/><Relationship Id="rId12" Type="http://schemas.openxmlformats.org/officeDocument/2006/relationships/image" Target="media/87d552fefd7322d6e179521bab0577e781439de1.png"/><Relationship Id="rId13" Type="http://schemas.openxmlformats.org/officeDocument/2006/relationships/image" Target="media/ae755cc43514d40c68c0db4e88c957da20ea45d0.png"/><Relationship Id="rId14" Type="http://schemas.openxmlformats.org/officeDocument/2006/relationships/image" Target="media/6bdac1fbef049b9c5ad97d7bf81189efb1b7ce6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2026-06-11T10:18:07.567Z</dcterms:created>
  <dcterms:modified xsi:type="dcterms:W3CDTF">2026-06-11T10:18:07.583Z</dcterms:modified>
</cp:coreProperties>
</file>

<file path=docProps/custom.xml><?xml version="1.0" encoding="utf-8"?>
<Properties xmlns="http://schemas.openxmlformats.org/officeDocument/2006/custom-properties" xmlns:vt="http://schemas.openxmlformats.org/officeDocument/2006/docPropsVTypes"/>
</file>