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74" w:line="252"/>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74" w:line="252"/>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74" w:line="252"/>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74" w:line="252"/>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74" w:line="252"/>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unbiased baseline the LiDAR map approximates (unbiased for amount, though imprecise at FIA's plot density),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 8 then distills these into a repeatable multi-axis classification of true LSOG, and Sections 9 and 10 give implications and recommendations.</w:t>
      </w:r>
    </w:p>
    <w:p>
      <w:pPr>
        <w:pStyle w:val="Heading1"/>
        <w:keepNext/>
      </w:pPr>
      <w:r>
        <w:t xml:space="preserve">2.  Training accuracy is high for every approach, and is not the issue</w:t>
      </w:r>
    </w:p>
    <w:p>
      <w:pPr>
        <w:spacing w:after="74" w:line="252"/>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48" w:before="11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74" w:line="252"/>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352800" cy="268605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52800" cy="2686050"/>
                    </a:xfrm>
                    <a:prstGeom prst="rect">
                      <a:avLst/>
                    </a:prstGeom>
                  </pic:spPr>
                </pic:pic>
              </a:graphicData>
            </a:graphic>
          </wp:inline>
        </w:drawing>
      </w:r>
    </w:p>
    <w:p>
      <w:pPr>
        <w:spacing w:after="118" w:before="48"/>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3771900" cy="263842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71900" cy="2638425"/>
                    </a:xfrm>
                    <a:prstGeom prst="rect">
                      <a:avLst/>
                    </a:prstGeom>
                  </pic:spPr>
                </pic:pic>
              </a:graphicData>
            </a:graphic>
          </wp:inline>
        </w:drawing>
      </w:r>
    </w:p>
    <w:p>
      <w:pPr>
        <w:spacing w:after="118" w:before="48"/>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74" w:line="252"/>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keepNext/>
        <w:spacing w:after="48" w:before="11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219450" cy="4257675"/>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4257675"/>
                    </a:xfrm>
                    <a:prstGeom prst="rect">
                      <a:avLst/>
                    </a:prstGeom>
                  </pic:spPr>
                </pic:pic>
              </a:graphicData>
            </a:graphic>
          </wp:inline>
        </w:drawing>
      </w:r>
    </w:p>
    <w:p>
      <w:pPr>
        <w:spacing w:after="118" w:before="48"/>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spacing w:after="74" w:line="252"/>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74" w:line="252"/>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spacing w:after="74" w:line="252"/>
        <w:jc w:val="both"/>
      </w:pPr>
      <w:r>
        <w:rPr>
          <w:sz w:val="22"/>
          <w:szCs w:val="22"/>
        </w:rPr>
        <w:t xml:space="preserve">An independently authored product points the same way. The U.S. Forest Service national old-growth inventory (Pelz et al. 2023), built under region-specific structural definitions, can be compared against the field-structure classification used here on the FIA plots where both apply, the National Forest System plots in the region (n about 925, concentrated in New Hampshire and Vermont because Maine holds little federal forest). The two agree only weakly: Cohen's kappa is 0.25 for the late-successional-plus-old-growth class and 0.12 for any-LSOG (Appendix S1: Table S9). Because Pelz et al. is a third-party operationalization rather than one of our reproductions, this addresses the obvious objection that maps disagree only when compared with their own variants; credible, independently authored definitions of old forest disagree at the plot level too. The sample is small and federal, so we read it as corroboration rather than a primary result.</w:t>
      </w:r>
    </w:p>
    <w:p>
      <w:pPr>
        <w:pStyle w:val="Heading1"/>
        <w:keepNext/>
      </w:pPr>
      <w:r>
        <w:t xml:space="preserve">4.  What old growth is, and what a canopy sensor can see</w:t>
      </w:r>
    </w:p>
    <w:p>
      <w:pPr>
        <w:spacing w:after="74" w:line="252"/>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48" w:before="11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74" w:line="252"/>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scoring low on continuity. Continuity is one weighted axis, valued differently by objective, not an absolute disqualifier of ecological maturity, but it is real and a canopy sensor cannot see it.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 (These 463 plots are a purposive training sample, so the dimensionality above is conditional on that design; the design-based FIA estimate remains the population anchor.)</w:t>
      </w:r>
    </w:p>
    <w:p>
      <w:pPr>
        <w:keepNext/>
        <w:spacing w:after="40" w:before="120"/>
        <w:jc w:val="center"/>
      </w:pPr>
      <w:r>
        <w:drawing>
          <wp:inline distT="0" distB="0" distL="0" distR="0">
            <wp:extent cx="3619500" cy="297180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71800"/>
                    </a:xfrm>
                    <a:prstGeom prst="rect">
                      <a:avLst/>
                    </a:prstGeom>
                  </pic:spPr>
                </pic:pic>
              </a:graphicData>
            </a:graphic>
          </wp:inline>
        </w:drawing>
      </w:r>
    </w:p>
    <w:p>
      <w:pPr>
        <w:spacing w:after="118" w:before="48"/>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74" w:line="252"/>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FIA is unbiased for area but, at its plot density, imprecise; its sparse sample cannot by itself locate or rule out the rare, small LSOG patches a wall-to-wall map can flag. Inventory and map are therefore complementary, not rival: the inventory bounds how much exists, while a verified map locates candidate patches the sparse plots may miss.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These statewide figures answer how much older forest Maine holds; because the published map covers only the unorganized townships, we also clipped the same design-based estimate to the map's exact area-of-interest polygon, and within that footprint older forest is increasing rather than declining: stand age &gt;= 120 yr rises from 3.1 to 4.0% and large-tree basal area from 9.1 to 9.7% over 2003-2024, every slope positive with confidence intervals excluding zero (Appendix S1: Table S10). The county-based northern timberland units that approximate the study area give a consistent 4.2% [3.3, 5.1] for stand age &gt;= 120 yr. The trend is therefore not a statewide average masking a loss inside the working-forest townships; the two move the same way.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(Supporting Information, Fig. S4), where the level depends on the criterion but the increasing direction does not. The point estimate for older forest brackets the published LS+OGL figure of 3.9%, which is reassuring, but the original analysis reported that figure without an interval; the unbiased ground baseline places it in a range of roughly 3.3 to 4.6%, and that uncertainty, partly a matter of FIA's sampling intensity, is exactly what a $200-300 million prioritization should carry.</w:t>
      </w:r>
    </w:p>
    <w:p>
      <w:pPr>
        <w:spacing w:after="74" w:line="252"/>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74" w:line="252"/>
        <w:jc w:val="both"/>
      </w:pPr>
      <w:r>
        <w:rPr>
          <w:sz w:val="22"/>
          <w:szCs w:val="22"/>
        </w:rPr>
        <w:t xml:space="preserve">Finally, the original analysis does not benchmark its map against any independent product; although it references GEDI-based structural work (de Conto et al. 2024), the spaceborne canopy-height products covering the area (Potapov et al. 2021; Lang et al. 2023) are neither cited nor used as a cross-check. These are global and free but coarser and noisier than airborne LiDAR, with documented accuracy limits (Moudry et al. 2024); we use the canopy-height product only as one operationalization to demonstrate disagreement (Section 3), never as a reference. The unbiased baseline throughout is the design-based FIA estimate, with the cross-map comparison establishing that credible alternatives disagree.</w:t>
      </w:r>
    </w:p>
    <w:p>
      <w:pPr>
        <w:keepNext/>
        <w:spacing w:after="48" w:before="11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514600" cy="406717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14600" cy="4067175"/>
                    </a:xfrm>
                    <a:prstGeom prst="rect">
                      <a:avLst/>
                    </a:prstGeom>
                  </pic:spPr>
                </pic:pic>
              </a:graphicData>
            </a:graphic>
          </wp:inline>
        </w:drawing>
      </w:r>
    </w:p>
    <w:p>
      <w:pPr>
        <w:spacing w:after="118" w:before="48"/>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74" w:line="252"/>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3924300" cy="2619375"/>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4300" cy="2619375"/>
                    </a:xfrm>
                    <a:prstGeom prst="rect">
                      <a:avLst/>
                    </a:prstGeom>
                  </pic:spPr>
                </pic:pic>
              </a:graphicData>
            </a:graphic>
          </wp:inline>
        </w:drawing>
      </w:r>
    </w:p>
    <w:p>
      <w:pPr>
        <w:spacing w:after="118" w:before="48"/>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48" w:before="11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74" w:line="252"/>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48" w:before="11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74" w:line="252"/>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10 into routine practice.</w:t>
      </w:r>
    </w:p>
    <w:p>
      <w:pPr>
        <w:spacing w:after="74" w:line="252"/>
        <w:jc w:val="both"/>
      </w:pPr>
      <w:r>
        <w:rPr>
          <w:sz w:val="22"/>
          <w:szCs w:val="22"/>
        </w:rPr>
        <w:t xml:space="preserve">Across the region (Fig. 7),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514600" cy="3429000"/>
            <wp:effectExtent t="0" r="0" b="0" l="0"/>
            <wp:docPr id="1" nam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14600" cy="3429000"/>
                    </a:xfrm>
                    <a:prstGeom prst="rect">
                      <a:avLst/>
                    </a:prstGeom>
                  </pic:spPr>
                </pic:pic>
              </a:graphicData>
            </a:graphic>
          </wp:inline>
        </w:drawing>
      </w:r>
    </w:p>
    <w:p>
      <w:pPr>
        <w:spacing w:after="118" w:before="48"/>
      </w:pPr>
      <w:r>
        <w:rPr>
          <w:i/>
          <w:iCs/>
          <w:color w:val="555555"/>
          <w:sz w:val="18"/>
          <w:szCs w:val="18"/>
        </w:rPr>
        <w:t xml:space="preserv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Toward a repeatable classification of true LSOG</w:t>
      </w:r>
    </w:p>
    <w:p>
      <w:pPr>
        <w:spacing w:after="74" w:line="252"/>
        <w:jc w:val="both"/>
      </w:pPr>
      <w:r>
        <w:rPr>
          <w:sz w:val="22"/>
          <w:szCs w:val="22"/>
        </w:rPr>
        <w:t xml:space="preserve">The constructive endpoint of this Comment is a classification that is repeatable and tied to what LSOG actually is. We define true LSOG as forest that satisfies multiple axes, not a single canopy proxy, each from transparent FIA measurements: live structure (large-tree basal area &gt;= 30 ft-sq/ac), dead wood (standing-dead basal area &gt;= 5 ft-sq/ac), compositional maturity (&gt;= 50% of live basal area in shade-tolerant, long-lived species), and temporal continuity (no recent cutting and natural stand origin). Because every criterion is a deterministic function of FIA condition and tree records, the classification is fully reproducible and yields a design-based area with a confidence interval. Requiring more axes narrows the class sharply (Fig. 8): 96% of Maine forestland meets at least one axis, 71% meets two, 30% meets three, and only 6.5% [5.6, 7.4] meets all four, which is the design-based estimate of true LSOG, sensibly between the strict age-based old growth (3.9%) and the broad canopy LSOG (about 20%). Live structure is the scarcest single axis (12.5%) and the most common one missing among near-LSOG stands; temporal continuity, captured here only by FIA treatment codes, is permissive because legacy partial harvest and skid trails are undercounted, so the true continuity-limited figure is plausibly lower. The specific cutoffs are illustrative and a formal threshold-sensitivity analysis is a priority; the dead-wood axis here uses standing snags only, because coarse woody debris was not in the inventory pull and would strengthen it, and continuity from treatment codes is permissive, so 6.5% is best read as an upper bound pending the disturbance-history layer. The requirement that several axes be met simultaneously, however, is what separates true LSOG from tall, big-treed, or merely mature forest, and is robust to the exact thresholds.</w:t>
      </w:r>
    </w:p>
    <w:p>
      <w:pPr>
        <w:keepNext/>
        <w:spacing w:after="40" w:before="120"/>
        <w:jc w:val="center"/>
      </w:pPr>
      <w:r>
        <w:drawing>
          <wp:inline distT="0" distB="0" distL="0" distR="0">
            <wp:extent cx="2762250" cy="3019425"/>
            <wp:effectExtent t="0" r="0" b="0" l="0"/>
            <wp:docPr id="1" nam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descr="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titl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3019425"/>
                    </a:xfrm>
                    <a:prstGeom prst="rect">
                      <a:avLst/>
                    </a:prstGeom>
                  </pic:spPr>
                </pic:pic>
              </a:graphicData>
            </a:graphic>
          </wp:inline>
        </w:drawing>
      </w:r>
    </w:p>
    <w:p>
      <w:pPr>
        <w:spacing w:after="118" w:before="48"/>
      </w:pPr>
      <w:r>
        <w:rPr>
          <w:i/>
          <w:iCs/>
          <w:color w:val="555555"/>
          <w:sz w:val="18"/>
          <w:szCs w:val="18"/>
        </w:rPr>
        <w:t xml:space="preserv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w:t>
      </w:r>
    </w:p>
    <w:p>
      <w:pPr>
        <w:spacing w:after="74" w:line="252"/>
        <w:jc w:val="both"/>
      </w:pPr>
      <w:r>
        <w:rPr>
          <w:sz w:val="22"/>
          <w:szCs w:val="22"/>
        </w:rPr>
        <w:t xml:space="preserve">This framework also charts the path from definition to map, by making explicit how observable each axis is. Live structure is the axis canopy LiDAR sees, and even that imperfectly; temporal continuity is observable not from a single date but from the satellite disturbance record, which we demonstrate here: intersecting the mapped LSOG with the Hansen Global Forest Change record (2001-2023), 24% of canopy-mapped LSOG has already experienced Landsat-detected stand-replacing disturbance, failing strict continuity even over this short window, while 76% is intact over the record (Supporting Information, Fig. S6); legacy harvest and skid trails predating 2001 and partial harvests are not captured, so this is a lenient test and the longer LCMS record (1985-) would tighten it. Dead wood and composition are largely invisible to canopy and passive optical sensors and require field plots or structural imputation that carries the full FIA condition. A defensible LSOG map is therefore a multi-layer product, canopy structure from LiDAR, a disturbance-history layer for continuity, and plot-anchored or imputed layers for dead wood and composition, combined into an agreement-and-uncertainty surface (Section 7) and calibrated against the design-based FIA estimate, which remains the unbiased anchor for how much exists. Which axes and thresholds are required should be set by the management objective (Table 7), so that the values choice is explicit rather than hidden inside a single classifier.</w:t>
      </w:r>
    </w:p>
    <w:p>
      <w:pPr>
        <w:keepNext/>
        <w:spacing w:after="48" w:before="110"/>
      </w:pPr>
      <w:r>
        <w:rPr>
          <w:i/>
          <w:iCs/>
          <w:color w:val="555555"/>
          <w:sz w:val="18"/>
          <w:szCs w:val="18"/>
        </w:rPr>
        <w:t xml:space="preserve">Table 7. The same multi-axis framework, tuned to the objective: which axes a given goal should emphasize. Making the choice explicit is what a single LSOG map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520"/>
        <w:gridCol w:w="4560"/>
      </w:tblGrid>
      <w:tr>
        <w:trPr>
          <w:cantSplit/>
        </w:trPr>
        <w:tc>
          <w:tcPr>
            <w:tcW w:type="dxa" w:w="22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Objective</w:t>
            </w:r>
          </w:p>
        </w:tc>
        <w:tc>
          <w:tcPr>
            <w:tcW w:type="dxa" w:w="25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Axes emphasized</w:t>
            </w:r>
          </w:p>
        </w:tc>
        <w:tc>
          <w:tcPr>
            <w:tcW w:type="dxa" w:w="45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Illustrative operational rule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Biodiversity / habitat</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dead wood, 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snags and downed wood present; no recent cutting; late-successional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Carbon stock</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structure (large trees)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large-tree basal area &gt;= 30 ft-sq/ac; high live basal area</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Primary-forest protection</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natural origin, no harvest history; shade-tolerant long-lived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Comprehensive true LSOG</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all four axes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meet all four simultaneously (6.5% [5.6, 7.4] of Maine forestland)</w:t>
            </w:r>
          </w:p>
        </w:tc>
      </w:tr>
    </w:tbl>
    <w:p>
      <w:pPr>
        <w:pStyle w:val="Heading1"/>
        <w:keepNext/>
      </w:pPr>
      <w:r>
        <w:t xml:space="preserve">9.  Implications</w:t>
      </w:r>
    </w:p>
    <w:p>
      <w:pPr>
        <w:spacing w:after="74" w:line="252"/>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strict old-growth-grade forest to be protected at high cost, it counts much transitioning and late-successional forest and so exceeds the strict resource. That breadth is a legitimate, objective-dependent choice rather than an error, the transitioning class captures the small patches and lifeboats that retention ecology values, but it must be read as such, and local errors run in both directions. The risk lies less in the map than in its use: without cross-comparison, field verification, or assessment over time, a screening product carries unintended consequences into acquisition and policy, and the exposure is sharpest for the isolated single-hectare patches it is designed to find, where 1 ha classifications fall on stand boundaries and mixed conditions and the map is least reliable. A single classification, however well trained, is therefore not a sufficient basis for parcel-level expenditures of the magnitude now contemplated; the practices that would make it sufficient, benchmarking against the design-based FIA estimate, cross-comparison against an independent product, parcel-scale field verification (Shamgochian et al. 2025), and reporting uncertainty on every quantity with the harvest flux distinguished from the net stock, are the same ones distilled in Sections 7 and 8. These matter most where a map underwrites cost estimates at the scale of the recent statewide assessment (Thompson et al. 2026), whose $200-300 million estimate is computed parcel by parcel from the mapped patches and inherits the map's accuracy and uncertainty directly.</w:t>
      </w:r>
    </w:p>
    <w:p>
      <w:pPr>
        <w:spacing w:after="74" w:line="252"/>
        <w:jc w:val="both"/>
      </w:pPr>
      <w:r>
        <w:rPr>
          <w:sz w:val="22"/>
          <w:szCs w:val="22"/>
        </w:rPr>
        <w:t xml:space="preserve">Where LSOG sits on the landscape is itself informative about risk. Overlaying the mapped LSOG with terrain and the satellite disturbance record (Supporting Information, Fig. S5), using the airborne Hagan map as the LSOG layer so the comparison is independent of the TreeMap-derived disturbance product, and with slope as a first-order accessibility proxy pending the harvest-probability surface now in development, it concentrates on steeper, less accessible ground (median slope 5.3 versus 3.0 degrees) and in more disturbance-prone settings; the share of forest mapped as LSOG rises from 12% on the gentlest terrain to 37% on the steepest, and from 17% to 35% across the disturbance gradient. Much of what the map flags therefore persists where harvesting is costly or impractical and where natural disturbance, not the saw, drives change. That cuts two ways: a single flat rate of loss overstates the near-term harvest risk to the inaccessible majority, while the most exposed, disturbance-prone stands may not persist as LSOG regardless of protection, so targeting and pricing should reflect that the resource is not uniformly at risk.</w:t>
      </w:r>
    </w:p>
    <w:p>
      <w:pPr>
        <w:spacing w:after="74" w:line="252"/>
        <w:jc w:val="both"/>
      </w:pPr>
      <w:r>
        <w:rPr>
          <w:sz w:val="22"/>
          <w:szCs w:val="22"/>
        </w:rPr>
        <w:t xml:space="preserve">It helps to see the estimates side by side (Table 8). For the same forest, the amount called LSOG ranges from about 4% under a strict old-growth definition to roughly 22% under the broad canopy class, a fivefold span that is the practical face of the multidimensionality argument. The design-based figures carry sampling intervals; the broad canopy figures do not; and the four-axis true-LSOG estimate, 6.5%, falls where the criteria converge. The honest reporting unit is this range with its definitions attached, not a single headline number. The choice is not academic for carbon: in Maine, mean live-tree carbon rises from about 39 Mg per hectare in non-LSOG stands to 72, 91, and 139 across the transitioning, late-successional, and old-growth classes, so where the LSOG line is drawn moves the carbon attributed to it several fold.</w:t>
      </w:r>
    </w:p>
    <w:p>
      <w:pPr>
        <w:keepNext/>
        <w:spacing w:after="48" w:before="110"/>
      </w:pPr>
      <w:r>
        <w:rPr>
          <w:i/>
          <w:iCs/>
          <w:color w:val="555555"/>
          <w:sz w:val="18"/>
          <w:szCs w:val="18"/>
        </w:rPr>
        <w:t xml:space="preserve">Table 8. How much LSOG is in Maine? Estimates for the same forest under different methods and definitions. Design-based (FIA) rows carry 95% confidence intervals; remote-sensing class areas do not. The right number depends on the objective and definition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40"/>
        <w:gridCol w:w="2400"/>
        <w:gridCol w:w="3120"/>
      </w:tblGrid>
      <w:tr>
        <w:trPr>
          <w:cantSplit/>
        </w:trPr>
        <w:tc>
          <w:tcPr>
            <w:tcW w:type="dxa" w:w="384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 or definition</w:t>
            </w:r>
          </w:p>
        </w:tc>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LSOG (% of forest)</w:t>
            </w:r>
          </w:p>
        </w:tc>
        <w:tc>
          <w:tcPr>
            <w:tcW w:type="dxa" w:w="31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What it captures</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any-LSOG (incl. transitioning)</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19.7 reported; 21.9 reproduced</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tall, big-tree canopy; broad screening class</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Canopy-height model (v5.1-GEDI)</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height and cover proxy</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structural imputation</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imputed FIA structural class (30 m)</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FIA large-tree basal area &gt;= 30 ft-sq/ac</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big-tree structure (design-based)</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Reproduced LS + OGL (strict canopy classes)</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about 4</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late-successional + old-growth canopy</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FIA stand age &gt;= 120 yr (strict old)</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modeled stand age (design-based)</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True LSOG, four-axis classification</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6.5 [5.6, 7.4]</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structure + dead wood + composition + continuity</w:t>
            </w:r>
          </w:p>
        </w:tc>
      </w:tr>
    </w:tbl>
    <w:p>
      <w:pPr>
        <w:pStyle w:val="Heading1"/>
        <w:keepNext/>
      </w:pPr>
      <w:r>
        <w:t xml:space="preserve">10.  Recommendations for future research</w:t>
      </w:r>
    </w:p>
    <w:p>
      <w:pPr>
        <w:spacing w:after="74" w:line="252"/>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the no-regrets logic of systematic conservation planning in which the defensible parcels are those prioritized across all network designs (Schloss et al. 2024);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74" w:line="252"/>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6" w:line="202"/>
        <w:ind w:left="330" w:hanging="330"/>
      </w:pPr>
      <w:r>
        <w:rPr>
          <w:sz w:val="18"/>
          <w:szCs w:val="18"/>
        </w:rPr>
        <w:t xml:space="preserve">Barnett, K., G. H. Aplet, and R. T. Belote. 2023. Classifying, inventorying, and mapping mature and old-growth forests in the United States. Frontiers in Forests and Global Change 5:1070372. https://doi.org/10.3389/ffgc.2022.1070372</w:t>
      </w:r>
    </w:p>
    <w:p>
      <w:pPr>
        <w:spacing w:after="16" w:line="202"/>
        <w:ind w:left="330" w:hanging="330"/>
      </w:pPr>
      <w:r>
        <w:rPr>
          <w:sz w:val="18"/>
          <w:szCs w:val="18"/>
        </w:rPr>
        <w:t xml:space="preserve">Box, G. E. P. 1976. Science and statistics. Journal of the American Statistical Association 71:791-799.</w:t>
      </w:r>
    </w:p>
    <w:p>
      <w:pPr>
        <w:spacing w:after="16" w:line="202"/>
        <w:ind w:left="330" w:hanging="330"/>
      </w:pPr>
      <w:r>
        <w:rPr>
          <w:sz w:val="18"/>
          <w:szCs w:val="18"/>
        </w:rPr>
        <w:t xml:space="preserve">de Conto, T., J. Armston, and R. Dubayah. 2024. Characterizing the structural complexity of the Earth's forests with spaceborne lidar. Nature Communications 15:8116. https://doi.org/10.1038/s41467-024-52468-2</w:t>
      </w:r>
    </w:p>
    <w:p>
      <w:pPr>
        <w:spacing w:after="16" w:line="202"/>
        <w:ind w:left="330" w:hanging="330"/>
      </w:pPr>
      <w:r>
        <w:rPr>
          <w:sz w:val="18"/>
          <w:szCs w:val="18"/>
        </w:rPr>
        <w:t xml:space="preserve">Franklin, J. F., and R. Van Pelt. 2004. Spatial aspects of structural complexity in old-growth forests. Journal of Forestry 102(3):22-28.</w:t>
      </w:r>
    </w:p>
    <w:p>
      <w:pPr>
        <w:spacing w:after="16" w:line="202"/>
        <w:ind w:left="330" w:hanging="330"/>
      </w:pPr>
      <w:r>
        <w:rPr>
          <w:sz w:val="18"/>
          <w:szCs w:val="18"/>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6" w:line="202"/>
        <w:ind w:left="330" w:hanging="330"/>
      </w:pPr>
      <w:r>
        <w:rPr>
          <w:sz w:val="18"/>
          <w:szCs w:val="18"/>
        </w:rPr>
        <w:t xml:space="preserve">Hagan, J. M., B. Shamgochian, M. M. L. Taylor, and J. M. Reed. 2026. Using LiDAR to quantify, map, and conserve late-successional and old-growth forest in Maine, USA. Ecosphere 17:e70670.</w:t>
      </w:r>
    </w:p>
    <w:p>
      <w:pPr>
        <w:spacing w:after="16" w:line="202"/>
        <w:ind w:left="330" w:hanging="330"/>
      </w:pPr>
      <w:r>
        <w:rPr>
          <w:sz w:val="18"/>
          <w:szCs w:val="18"/>
        </w:rPr>
        <w:t xml:space="preserve">Lang, N., W. Jetz, K. Schindler, and J. D. Wegner. 2023. A high-resolution canopy height model of the Earth. Nature Ecology &amp; Evolution 7:1778-1789. https://doi.org/10.1038/s41559-023-02206-6</w:t>
      </w:r>
    </w:p>
    <w:p>
      <w:pPr>
        <w:spacing w:after="16" w:line="202"/>
        <w:ind w:left="330" w:hanging="330"/>
      </w:pPr>
      <w:r>
        <w:rPr>
          <w:sz w:val="18"/>
          <w:szCs w:val="18"/>
        </w:rPr>
        <w:t xml:space="preserve">Moudry, V., et al. 2024. Comparison of three global canopy height maps and their applicability to biodiversity modeling: accuracy issues revealed. Ecosphere 15:e70026.</w:t>
      </w:r>
    </w:p>
    <w:p>
      <w:pPr>
        <w:spacing w:after="16" w:line="202"/>
        <w:ind w:left="330" w:hanging="330"/>
      </w:pPr>
      <w:r>
        <w:rPr>
          <w:sz w:val="18"/>
          <w:szCs w:val="18"/>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6" w:line="202"/>
        <w:ind w:left="330" w:hanging="330"/>
      </w:pPr>
      <w:r>
        <w:rPr>
          <w:sz w:val="18"/>
          <w:szCs w:val="18"/>
        </w:rPr>
        <w:t xml:space="preserve">Potapov, P., et al. 2021. Mapping global forest canopy height through the fusion of GEDI and Landsat data. Remote Sensing of Environment 253:112165.</w:t>
      </w:r>
    </w:p>
    <w:p>
      <w:pPr>
        <w:spacing w:after="16" w:line="202"/>
        <w:ind w:left="330" w:hanging="330"/>
      </w:pPr>
      <w:r>
        <w:rPr>
          <w:sz w:val="18"/>
          <w:szCs w:val="18"/>
        </w:rPr>
        <w:t xml:space="preserve">Schloss, C. A., D. R. Cameron, B. Franklin, S. A. Morrison, and C. Nolte. 2024. An approach to designing efficient implementation of 30x30 terrestrial conservation commitments. Conservation Science and Practice 6:e13232. https://doi.org/10.1111/csp2.13232</w:t>
      </w:r>
    </w:p>
    <w:p>
      <w:pPr>
        <w:spacing w:after="16" w:line="202"/>
        <w:ind w:left="330" w:hanging="330"/>
      </w:pPr>
      <w:r>
        <w:rPr>
          <w:sz w:val="18"/>
          <w:szCs w:val="18"/>
        </w:rPr>
        <w:t xml:space="preserve">Shamgochian, B., J. Hagan, M. Taylor, and M. Reed. 2025. LSOG Rapid Assessment Protocol (RAP) for Maine (v1.0). Our Climate Common Report, Georgetown, Maine.</w:t>
      </w:r>
    </w:p>
    <w:p>
      <w:pPr>
        <w:spacing w:after="16" w:line="202"/>
        <w:ind w:left="330" w:hanging="330"/>
      </w:pPr>
      <w:r>
        <w:rPr>
          <w:sz w:val="18"/>
          <w:szCs w:val="18"/>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6" w:line="202"/>
        <w:ind w:left="330" w:hanging="330"/>
      </w:pPr>
      <w:r>
        <w:rPr>
          <w:sz w:val="18"/>
          <w:szCs w:val="18"/>
        </w:rPr>
        <w:t xml:space="preserve">Spies, T. A. 2004. Ecological concepts and diversity of old-growth forests. Journal of Forestry 102(3):14-20.</w:t>
      </w:r>
    </w:p>
    <w:p>
      <w:pPr>
        <w:spacing w:after="16" w:line="202"/>
        <w:ind w:left="330" w:hanging="330"/>
      </w:pPr>
      <w:r>
        <w:rPr>
          <w:sz w:val="18"/>
          <w:szCs w:val="18"/>
        </w:rPr>
        <w:t xml:space="preserve">Spracklen, B., and D. V. Spracklen. 2021. Determination of structural characteristics of old-growth forest in Ukraine using spaceborne LiDAR. Remote Sensing 13(7):1233. https://doi.org/10.3390/rs13071233</w:t>
      </w:r>
    </w:p>
    <w:p>
      <w:pPr>
        <w:spacing w:after="16" w:line="202"/>
        <w:ind w:left="330" w:hanging="330"/>
      </w:pPr>
      <w:r>
        <w:rPr>
          <w:sz w:val="18"/>
          <w:szCs w:val="18"/>
        </w:rPr>
        <w:t xml:space="preserve">Stanke, H., A. O. Finley, A. S. Weed, B. F. Walters, and G. M. Domke. 2020. rFIA: an R package for estimation of forest attributes with the FIA database. Environmental Modelling &amp; Software 127:104664.</w:t>
      </w:r>
    </w:p>
    <w:p>
      <w:pPr>
        <w:spacing w:after="16" w:line="202"/>
        <w:ind w:left="330" w:hanging="330"/>
      </w:pPr>
      <w:r>
        <w:rPr>
          <w:sz w:val="18"/>
          <w:szCs w:val="18"/>
        </w:rPr>
        <w:t xml:space="preserve">Thompson, J. R., A. Daigneault, J. Plisinski, I. Moon, and J. Norton. 2026. Pathways for protecting Maine's remaining late-successional and old-growth forests. Property and Environment Research Center.</w:t>
      </w:r>
    </w:p>
    <w:p>
      <w:pPr>
        <w:spacing w:after="16" w:line="202"/>
        <w:ind w:left="330" w:hanging="330"/>
      </w:pPr>
      <w:r>
        <w:rPr>
          <w:sz w:val="18"/>
          <w:szCs w:val="18"/>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2" w:before="9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7d09fa625605c89bba70771a458fad2ae44faea6.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87d552fefd7322d6e179521bab0577e781439de1.png"/><Relationship Id="rId14" Type="http://schemas.openxmlformats.org/officeDocument/2006/relationships/image" Target="media/da083765b469a8b7ad8fb3cfe33940a62c3b9b14.png"/><Relationship Id="rId15" Type="http://schemas.openxmlformats.org/officeDocument/2006/relationships/image" Target="media/33d3005beb1c66f145bda0dd27aa9700b26ab6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2026-06-11T21:50:01.285Z</dcterms:created>
  <dcterms:modified xsi:type="dcterms:W3CDTF">2026-06-11T21:50:01.286Z</dcterms:modified>
</cp:coreProperties>
</file>

<file path=docProps/custom.xml><?xml version="1.0" encoding="utf-8"?>
<Properties xmlns="http://schemas.openxmlformats.org/officeDocument/2006/custom-properties" xmlns:vt="http://schemas.openxmlformats.org/officeDocument/2006/docPropsVTypes"/>
</file>