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08" w:line="276"/>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08" w:line="276"/>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08" w:line="276"/>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08" w:line="276"/>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Sections 8 and 9 give implications and recommendations.</w:t>
      </w:r>
    </w:p>
    <w:p>
      <w:pPr>
        <w:pStyle w:val="Heading1"/>
        <w:keepNext/>
      </w:pPr>
      <w:r>
        <w:t xml:space="preserve">2.  Training accuracy is high for every approach, and is not the issue</w:t>
      </w:r>
    </w:p>
    <w:p>
      <w:pPr>
        <w:spacing w:after="108" w:line="276"/>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108" w:line="276"/>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108" w:line="276"/>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08" w:line="276"/>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08" w:line="276"/>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The canopy signal captures big trees better than old-growth structure</w:t>
      </w:r>
    </w:p>
    <w:p>
      <w:pPr>
        <w:spacing w:after="108" w:line="276"/>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pStyle w:val="Heading1"/>
        <w:keepNext/>
      </w:pPr>
      <w:r>
        <w:t xml:space="preserve">5.  Ground-based inventory: the estimate, with the interval the map omits</w:t>
      </w:r>
    </w:p>
    <w:p>
      <w:pPr>
        <w:spacing w:after="108" w:line="276"/>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(Fig. 5), where the level depends on the criterion but the increasing direction does not.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08" w:line="276"/>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4);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108" w:line="276"/>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keepNext/>
        <w:spacing w:after="40" w:before="120"/>
        <w:jc w:val="center"/>
      </w:pPr>
      <w:r>
        <w:drawing>
          <wp:inline distT="0" distB="0" distL="0" distR="0">
            <wp:extent cx="4343400" cy="2895600"/>
            <wp:effectExtent t="0" r="0" b="0" l="0"/>
            <wp:docPr id="1" name="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 descr="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 title="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2895600"/>
                    </a:xfrm>
                    <a:prstGeom prst="rect">
                      <a:avLst/>
                    </a:prstGeom>
                  </pic:spPr>
                </pic:pic>
              </a:graphicData>
            </a:graphic>
          </wp:inline>
        </w:drawing>
      </w:r>
    </w:p>
    <w:p>
      <w:pPr>
        <w:spacing w:after="160" w:before="60"/>
      </w:pPr>
      <w:r>
        <w:rPr>
          <w:i/>
          <w:iCs/>
          <w:color w:val="555555"/>
          <w:sz w:val="18"/>
          <w:szCs w:val="18"/>
        </w:rPr>
        <w:t xml:space="preserve">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w:t>
      </w:r>
    </w:p>
    <w:p>
      <w:pPr>
        <w:pStyle w:val="Heading1"/>
        <w:keepNext/>
      </w:pPr>
      <w:r>
        <w:t xml:space="preserve">6.  Beyond Maine: increasing older forest and limited existing protection</w:t>
      </w:r>
    </w:p>
    <w:p>
      <w:pPr>
        <w:spacing w:after="108" w:line="276"/>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108" w:line="276"/>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108" w:line="276"/>
        <w:jc w:val="both"/>
      </w:pPr>
      <w:r>
        <w:rPr>
          <w:sz w:val="22"/>
          <w:szCs w:val="22"/>
        </w:rPr>
        <w:t xml:space="preserve">The recommendation to replace a single map with an ensemble and an explicit uncertainty layer is not hypothetical; we demonstrate it with the products already in hand. Combining the three independent operationalizations into a per-pixel ensemble LSOG membership, and taking the cross-method standard deviation as a per-pixel uncertainty, yields an unweighted agreement (membership) surface and a companion uncertainty layer (Fig. 7, aggregated to 8 km hexagons for display; the per-pixel 100 m rasters are archived). Because two of the three inputs are binary class indicators and one is continuous, this surface is an agreement score rather than a calibrated probability, which is sufficient for the purpose of locating where the methods concur. The uncertainty is not uniform: cross-method disagreement per hexagon averages 0.22 (max minus min agreement), with an interquartile range of 0.19 and reaching 0.43 at the 90th percentile, and it is highest where the agreement score is intermediate, the transitioning envelope that drives the cost. A bivariate view (Supporting Information) separates the small high-agreement, low-uncertainty core, where the methods agree and acquisition would be defensible, from the much larger high-uncertainty zone where a single map should not by itself move a purchase. Producing this required only the three existing maps; the same ensemble could be standardized and extended across New England at low cost, letting a program prioritize by confidence rather than by one classifier, and converting the recommendation of Section 9 into routine practice.</w:t>
      </w:r>
    </w:p>
    <w:p>
      <w:pPr>
        <w:keepNext/>
        <w:spacing w:after="40" w:before="120"/>
        <w:jc w:val="center"/>
      </w:pPr>
      <w:r>
        <w:drawing>
          <wp:inline distT="0" distB="0" distL="0" distR="0">
            <wp:extent cx="2495550" cy="4343400"/>
            <wp:effectExtent t="0" r="0" b="0" l="0"/>
            <wp:docPr id="1" name="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 descr="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 title="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95550" cy="4343400"/>
                    </a:xfrm>
                    <a:prstGeom prst="rect">
                      <a:avLst/>
                    </a:prstGeom>
                  </pic:spPr>
                </pic:pic>
              </a:graphicData>
            </a:graphic>
          </wp:inline>
        </w:drawing>
      </w:r>
    </w:p>
    <w:p>
      <w:pPr>
        <w:spacing w:after="160" w:before="60"/>
      </w:pPr>
      <w:r>
        <w:rPr>
          <w:i/>
          <w:iCs/>
          <w:color w:val="555555"/>
          <w:sz w:val="18"/>
          <w:szCs w:val="18"/>
        </w:rPr>
        <w:t xml:space="preserve">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w:t>
      </w:r>
    </w:p>
    <w:p>
      <w:pPr>
        <w:spacing w:after="108" w:line="276"/>
        <w:jc w:val="both"/>
      </w:pPr>
      <w:r>
        <w:rPr>
          <w:sz w:val="22"/>
          <w:szCs w:val="22"/>
        </w:rPr>
        <w:t xml:space="preserve">The same ensemble extends directly to all of New England (Fig. 8).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Implications</w:t>
      </w:r>
    </w:p>
    <w:p>
      <w:pPr>
        <w:spacing w:after="108" w:line="276"/>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The exposure is sharpest for the isolated single-hectare patches the map is designed to find: at 1 ha, classifications fall on stand boundaries and mixed conditions, which the authors attribute part of their finer-class error to, so prioritizing scattered 1-ha parcels concentrates spending where the map is least reliable.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keepNext/>
      </w:pPr>
      <w:r>
        <w:t xml:space="preserve">9.  Recommendations for future research</w:t>
      </w:r>
    </w:p>
    <w:p>
      <w:pPr>
        <w:spacing w:after="108" w:line="276"/>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108" w:line="276"/>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d8e52e2f54e2f8eecaa06e1c5e76afae102d3fd0.png"/><Relationship Id="rId10" Type="http://schemas.openxmlformats.org/officeDocument/2006/relationships/image" Target="media/b9c72d78270b0db929ba30b2c65a1ae8c2d892d4.png"/><Relationship Id="rId11" Type="http://schemas.openxmlformats.org/officeDocument/2006/relationships/image" Target="media/0322ace7fd331ee5b4f2a14833d9dda2a443552d.png"/><Relationship Id="rId12" Type="http://schemas.openxmlformats.org/officeDocument/2006/relationships/image" Target="media/59bfe01ffbf65dafdfb3cead38dc9d59c788928e.png"/><Relationship Id="rId13" Type="http://schemas.openxmlformats.org/officeDocument/2006/relationships/image" Target="media/87d552fefd7322d6e179521bab0577e781439de1.png"/><Relationship Id="rId14" Type="http://schemas.openxmlformats.org/officeDocument/2006/relationships/image" Target="media/cd80b8d3a2ca93b5d5c630edf2e4fc30e5b354ef.png"/><Relationship Id="rId15" Type="http://schemas.openxmlformats.org/officeDocument/2006/relationships/image" Target="media/da083765b469a8b7ad8fb3cfe33940a62c3b9b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2026-06-11T10:59:13.436Z</dcterms:created>
  <dcterms:modified xsi:type="dcterms:W3CDTF">2026-06-11T10:59:13.436Z</dcterms:modified>
</cp:coreProperties>
</file>

<file path=docProps/custom.xml><?xml version="1.0" encoding="utf-8"?>
<Properties xmlns="http://schemas.openxmlformats.org/officeDocument/2006/custom-properties" xmlns:vt="http://schemas.openxmlformats.org/officeDocument/2006/docPropsVTypes"/>
</file>