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Late Successional and Old Growth forest distribution across the Northeast: a four-state comparison</w:t>
      </w:r>
    </w:p>
    <w:p>
      <w:pPr>
        <w:pStyle w:val="Subtitle"/>
      </w:pPr>
      <w:r>
        <w:t xml:space="preserve">Manuscript V1 draft (April 30, 2026) - combined Introduction and Body</w:t>
      </w:r>
    </w:p>
    <w:p>
      <w:pPr>
        <w:pStyle w:val="Author"/>
      </w:pPr>
      <w:r>
        <w:t xml:space="preserve">Aaron Weiskittel, Adam Daigneault, Daniel Hayes (working coauthors)</w:t>
      </w:r>
    </w:p>
    <w:p>
      <w:pPr>
        <w:pStyle w:val="Date"/>
      </w:pPr>
      <w:r>
        <w:t xml:space="preserve">2026-04-30</w:t>
      </w:r>
    </w:p>
    <w:bookmarkStart w:id="56" w:name="X27edecf9df9bb24753ad35bdad0e15db4de5fea"/>
    <w:p>
      <w:pPr>
        <w:pStyle w:val="Heading1"/>
      </w:pPr>
      <w:r>
        <w:t xml:space="preserve">LSOG Northeast Manuscript Draft V1: Introduction</w:t>
      </w:r>
    </w:p>
    <w:p>
      <w:pPr>
        <w:pStyle w:val="FirstParagraph"/>
      </w:pPr>
      <w:r>
        <w:rPr>
          <w:b/>
          <w:bCs/>
        </w:rPr>
        <w:t xml:space="preserve">Working title:</w:t>
      </w:r>
      <w:r>
        <w:t xml:space="preserve"> </w:t>
      </w:r>
      <w:r>
        <w:t xml:space="preserve">Late Successional and Old Growth forest distribution across the Northeast: a four state comparison</w:t>
      </w:r>
      <w:r>
        <w:t xml:space="preserve"> </w:t>
      </w:r>
      <w:r>
        <w:rPr>
          <w:b/>
          <w:bCs/>
        </w:rPr>
        <w:t xml:space="preserve">Target journal:</w:t>
      </w:r>
      <w:r>
        <w:t xml:space="preserve"> </w:t>
      </w:r>
      <w:r>
        <w:t xml:space="preserve">Ecological Applications (preferred); alternates Forest Ecology and Management or Conservation Biology</w:t>
      </w:r>
      <w:r>
        <w:t xml:space="preserve"> </w:t>
      </w:r>
      <w:r>
        <w:rPr>
          <w:b/>
          <w:bCs/>
        </w:rPr>
        <w:t xml:space="preserve">Authors (working):</w:t>
      </w:r>
      <w:r>
        <w:t xml:space="preserve"> </w:t>
      </w:r>
      <w:r>
        <w:t xml:space="preserve">Aaron Weiskittel (UMaine, lead); Adam Daigneault (UMaine); Daniel Hayes (UMaine); plus possibly Thompson team and Phase 4/5 analytical team TBD</w:t>
      </w:r>
      <w:r>
        <w:t xml:space="preserve"> </w:t>
      </w:r>
      <w:r>
        <w:rPr>
          <w:b/>
          <w:bCs/>
        </w:rPr>
        <w:t xml:space="preserve">Status:</w:t>
      </w:r>
      <w:r>
        <w:t xml:space="preserve"> </w:t>
      </w:r>
      <w:r>
        <w:t xml:space="preserve">V1 draft of Introduction, April 27, 2026</w:t>
      </w:r>
      <w:r>
        <w:t xml:space="preserve"> </w:t>
      </w:r>
      <w:r>
        <w:rPr>
          <w:b/>
          <w:bCs/>
        </w:rPr>
        <w:t xml:space="preserve">Companion:</w:t>
      </w:r>
      <w:r>
        <w:t xml:space="preserve"> </w:t>
      </w:r>
      <w:r>
        <w:t xml:space="preserve">MANUSCRIPT_OUTLINE.md, NEXT_STEPS.md</w:t>
      </w:r>
    </w:p>
    <w:p>
      <w:r>
        <w:pict>
          <v:rect style="width:0;height:1.5pt" o:hralign="center" o:hrstd="t" o:hr="t"/>
        </w:pict>
      </w:r>
    </w:p>
    <w:bookmarkStart w:id="20" w:name="abstract-draft-250-words-target"/>
    <w:p>
      <w:pPr>
        <w:pStyle w:val="Heading2"/>
      </w:pPr>
      <w:r>
        <w:t xml:space="preserve">Abstract draft (250 words target)</w:t>
      </w:r>
    </w:p>
    <w:p>
      <w:pPr>
        <w:pStyle w:val="FirstParagraph"/>
      </w:pPr>
      <w:r>
        <w:t xml:space="preserve">Late successional and old growth (LSOG) forests provide habitat for species requiring structural complexity, store carbon at higher per area densities than younger forests, and represent particular conservation value in heavily managed landscapes. Across the Northeastern United States, four states (Maine, New Hampshire, New York, Vermont) share similar climatic conditions but differ markedly in forest history, ranging from continuous industrial forestry in Maine to broad land abandonment in New Hampshire and Vermont. We applied the RAP v2.0 LSOG classification protocol to FIA remeasurement plots in the four state region for the 2019 to 2023 panel and the 1999 to 2003 panel, totaling 6,646 plots in the recent panel. Results show that Maine has the lowest combined LSOG share at 25.8 percent, compared to New Hampshire at 55.6 percent, Vermont at 57.8 percent, and New York at 46.5 percent (the latter with the highest old growth class share at 2.5 percent reflecting the Adirondacks). Twenty year trend analysis shows New Hampshire and Vermont essentially doubled their LSOG share over the period (gains of 21.4 and 14.5 percentage points respectively), while Maine added only 3.6 points. Sensitivity analysis indicates that v5 RAP thresholds at 18 and 25 meters Potapov RH95 canopy height are conservative; 10 and 20 meter thresholds or continuous RH95 in logistic regression yield higher AUC against ORNL mature classification. The structural divergence has direct consequences for biodiversity, carbon storage, and forest policy across the four states. Maine’s working forest economy is consistent with its lower LSOG share, but the management trade offs deserve explicit policy attention.</w:t>
      </w:r>
    </w:p>
    <w:p>
      <w:pPr>
        <w:pStyle w:val="BodyText"/>
      </w:pPr>
      <w:r>
        <w:rPr>
          <w:b/>
          <w:bCs/>
        </w:rPr>
        <w:t xml:space="preserve">Keywords:</w:t>
      </w:r>
      <w:r>
        <w:t xml:space="preserve"> </w:t>
      </w:r>
      <w:r>
        <w:t xml:space="preserve">Late successional and old growth, FIA, Northeast, working forest, RAP classification, forest aging</w:t>
      </w:r>
    </w:p>
    <w:p>
      <w:r>
        <w:pict>
          <v:rect style="width:0;height:1.5pt" o:hralign="center" o:hrstd="t" o:hr="t"/>
        </w:pict>
      </w:r>
    </w:p>
    <w:bookmarkEnd w:id="20"/>
    <w:bookmarkStart w:id="26" w:name="introduction"/>
    <w:p>
      <w:pPr>
        <w:pStyle w:val="Heading2"/>
      </w:pPr>
      <w:r>
        <w:t xml:space="preserve">1. Introduction</w:t>
      </w:r>
    </w:p>
    <w:bookmarkStart w:id="21" w:name="Xc6ce1932c7467bc63569dca35ee6221155ae9fd"/>
    <w:p>
      <w:pPr>
        <w:pStyle w:val="Heading3"/>
      </w:pPr>
      <w:r>
        <w:t xml:space="preserve">1.1 Late successional and old growth forest as a conservation concern</w:t>
      </w:r>
    </w:p>
    <w:p>
      <w:pPr>
        <w:pStyle w:val="FirstParagraph"/>
      </w:pPr>
      <w:r>
        <w:t xml:space="preserve">Forests with mature and structurally complex stands provide ecosystem services that younger forests cannot. Cavity nesting birds depend on standing dead trees that take decades to develop. Many lichen species require old, structurally complex canopies. Some terrestrial salamanders prefer the deep coarse woody debris that accumulates in old forests over generations. Beyond habitat, structurally complex older forests typically store more carbon per acre than younger, simpler ones, and they store that carbon more durably across the time horizons relevant to climate adaptation planning.</w:t>
      </w:r>
    </w:p>
    <w:p>
      <w:pPr>
        <w:pStyle w:val="BodyText"/>
      </w:pPr>
      <w:r>
        <w:t xml:space="preserve">The terminology and classification of these forests varies. We use</w:t>
      </w:r>
      <w:r>
        <w:t xml:space="preserve"> </w:t>
      </w:r>
      <w:r>
        <w:t xml:space="preserve">“late successional and old growth”</w:t>
      </w:r>
      <w:r>
        <w:t xml:space="preserve"> </w:t>
      </w:r>
      <w:r>
        <w:t xml:space="preserve">or LSOG as an umbrella term following the RAP v2.0 classification protocol developed for use with FIA inventory data. The classification distinguishes transitional late successional, late successional, and old growth classes based on multiple structural attributes including tree size, basal area, dead wood, and structural complexity. The protocol has been applied across multiple regions in the United States and provides a consistent comparative framework for systematic state and regional analyses.</w:t>
      </w:r>
    </w:p>
    <w:p>
      <w:pPr>
        <w:pStyle w:val="BodyText"/>
      </w:pPr>
      <w:r>
        <w:t xml:space="preserve">Federal and state forest policy increasingly emphasizes LSOG protection. The USDA Forest Service has issued direction to consider old growth in forest planning. State ecological reserve programs have established networks of designated reserves for LSOG protection. Carbon market frameworks increasingly recognize the carbon value of older forests. These policy developments increase the value of accurate, comparative LSOG distribution data.</w:t>
      </w:r>
    </w:p>
    <w:bookmarkEnd w:id="21"/>
    <w:bookmarkStart w:id="22" w:name="Xf1555746ae143477bbff3761d64bcfb9b491348"/>
    <w:p>
      <w:pPr>
        <w:pStyle w:val="Heading3"/>
      </w:pPr>
      <w:r>
        <w:t xml:space="preserve">1.2 Northeastern forest history shapes current LSOG distribution</w:t>
      </w:r>
    </w:p>
    <w:p>
      <w:pPr>
        <w:pStyle w:val="FirstParagraph"/>
      </w:pPr>
      <w:r>
        <w:t xml:space="preserve">The Northeastern United States is one of the most heavily forested regions in the country. Maine alone accounts for approximately 89 percent forest cover, the highest of any state in the United States. New Hampshire, Vermont, and New York are also heavily forested, although with somewhat different histories than Maine.</w:t>
      </w:r>
    </w:p>
    <w:p>
      <w:pPr>
        <w:pStyle w:val="BodyText"/>
      </w:pPr>
      <w:r>
        <w:t xml:space="preserve">Forest history across the four states diverges meaningfully. New Hampshire and Vermont saw their peak agricultural clearing in the 1800s, followed by widespread land abandonment as farms moved west. The forests that grew back after that abandonment, often called old field forests, reach ages of 100 to 150 years today. They are no longer young, and they are increasingly structurally complex.</w:t>
      </w:r>
    </w:p>
    <w:p>
      <w:pPr>
        <w:pStyle w:val="BodyText"/>
      </w:pPr>
      <w:r>
        <w:t xml:space="preserve">New York followed a similar arc but with significant Adirondacks forest that retained more old growth conditions through the post Civil War era due to large state and private holdings that limited clearing. The Adirondacks remain the regional hotspot for old growth forest in the Northeastern United States.</w:t>
      </w:r>
    </w:p>
    <w:p>
      <w:pPr>
        <w:pStyle w:val="BodyText"/>
      </w:pPr>
      <w:r>
        <w:t xml:space="preserve">Maine’s forest history followed a different arc. The state has supported a continuous, large scale industrial forestry sector dating from the 1800s through today. Maine produces more pulpwood than any state east of the Mississippi River. The forests that supply that industry have been worked for generations. Active, productive, and economically essential, but with rotations long enough to grow merchantable trees and not long enough to produce the structural conditions associated with old growth forests.</w:t>
      </w:r>
    </w:p>
    <w:p>
      <w:pPr>
        <w:pStyle w:val="BodyText"/>
      </w:pPr>
      <w:r>
        <w:t xml:space="preserve">These divergent histories produce different current forest age structures, even though all four states share similar climatic conditions and similar overall forest cover. A consistent comparative analysis of LSOG distribution across the four states is therefore informative for understanding how forest history shapes current ecological and policy conditions.</w:t>
      </w:r>
    </w:p>
    <w:bookmarkEnd w:id="22"/>
    <w:bookmarkStart w:id="23" w:name="the-rap-v2.0-classification-framework"/>
    <w:p>
      <w:pPr>
        <w:pStyle w:val="Heading3"/>
      </w:pPr>
      <w:r>
        <w:t xml:space="preserve">1.3 The RAP v2.0 classification framework</w:t>
      </w:r>
    </w:p>
    <w:p>
      <w:pPr>
        <w:pStyle w:val="FirstParagraph"/>
      </w:pPr>
      <w:r>
        <w:t xml:space="preserve">We use the RAP v2.0 classification protocol to identify and characterize LSOG forest plots in the FIA inventory. RAP v2.0 evaluates each plot across six structural dimensions including tree size attributes, basal area distribution, dead wood characteristics (standing snags and down dead wood), and structural complexity. Each dimension produces a score; aggregate scores classify plots into transitional late successional, late successional, or old growth categories.</w:t>
      </w:r>
    </w:p>
    <w:p>
      <w:pPr>
        <w:pStyle w:val="BodyText"/>
      </w:pPr>
      <w:r>
        <w:t xml:space="preserve">Classifier variants used in this study include v4 (without remote sensing integration), v5 (with Potapov RH95 canopy height integrated using default 18 and 25 meter thresholds), v5b (alternative classifier variant for sensitivity analysis), and v5c (continuous RH95 in logistic regression for highest AUC against external validation). The v4 classifier supports historical comparison across panels (1999 to 2003 vs 2019 to 2023) where remote sensing canopy height was less consistently available. The v5 classifier reflects current best practice with remote sensing integration.</w:t>
      </w:r>
    </w:p>
    <w:p>
      <w:pPr>
        <w:pStyle w:val="BodyText"/>
      </w:pPr>
      <w:r>
        <w:t xml:space="preserve">A bug in the dead wood scoring dimension was identified and fixed during the analysis on March 19, 2026. The original implementation incorrectly pulled snag counts from outside plot boundaries in some cases; the corrected version pulls snag counts from inside plot boundaries only, consistent with the RAP v2.0 protocol intent. All results reported here use the corrected classifier.</w:t>
      </w:r>
    </w:p>
    <w:bookmarkEnd w:id="23"/>
    <w:bookmarkStart w:id="24" w:name="research-questions"/>
    <w:p>
      <w:pPr>
        <w:pStyle w:val="Heading3"/>
      </w:pPr>
      <w:r>
        <w:t xml:space="preserve">1.4 Research questions</w:t>
      </w:r>
    </w:p>
    <w:p>
      <w:pPr>
        <w:pStyle w:val="FirstParagraph"/>
      </w:pPr>
      <w:r>
        <w:t xml:space="preserve">This study addresses five research questions:</w:t>
      </w:r>
    </w:p>
    <w:p>
      <w:pPr>
        <w:pStyle w:val="BodyText"/>
      </w:pPr>
      <w:r>
        <w:t xml:space="preserve">First, what is the share of LSOG forest in each Northeast state at the most recent FIA panel (2019 to 2023)?</w:t>
      </w:r>
    </w:p>
    <w:p>
      <w:pPr>
        <w:pStyle w:val="BodyText"/>
      </w:pPr>
      <w:r>
        <w:t xml:space="preserve">Second, how does the share differ among states, and what historical processes account for the differences?</w:t>
      </w:r>
    </w:p>
    <w:p>
      <w:pPr>
        <w:pStyle w:val="BodyText"/>
      </w:pPr>
      <w:r>
        <w:t xml:space="preserve">Third, what has been the 20 year trajectory of LSOG share in each state from 1999 to 2003 to 2019 to 2023?</w:t>
      </w:r>
    </w:p>
    <w:p>
      <w:pPr>
        <w:pStyle w:val="BodyText"/>
      </w:pPr>
      <w:r>
        <w:t xml:space="preserve">Fourth, how sensitive are the classification results to threshold choices, particularly remote sensing canopy height integration?</w:t>
      </w:r>
    </w:p>
    <w:p>
      <w:pPr>
        <w:pStyle w:val="BodyText"/>
      </w:pPr>
      <w:r>
        <w:t xml:space="preserve">Fifth, what are the implications for biodiversity, forest carbon, and forest policy across the four states?</w:t>
      </w:r>
    </w:p>
    <w:bookmarkEnd w:id="24"/>
    <w:bookmarkStart w:id="25" w:name="contribution"/>
    <w:p>
      <w:pPr>
        <w:pStyle w:val="Heading3"/>
      </w:pPr>
      <w:r>
        <w:t xml:space="preserve">1.5 Contribution</w:t>
      </w:r>
    </w:p>
    <w:p>
      <w:pPr>
        <w:pStyle w:val="FirstParagraph"/>
      </w:pPr>
      <w:r>
        <w:t xml:space="preserve">This study makes four contributions. First, it provides the first systematic four state comparison of LSOG distribution across the Northeast using a consistent FIA based methodology. Second, it documents the v4 versus v5 classifier variant comparison and characterizes the value added by remote sensing canopy height integration. Third, it presents 20 year trend analysis across the four states using the v4 classifier. Fourth, it conducts an RH95 threshold sensitivity analysis that informs methodological best practice for future LSOG classification work.</w:t>
      </w:r>
    </w:p>
    <w:p>
      <w:pPr>
        <w:pStyle w:val="BodyText"/>
      </w:pPr>
      <w:r>
        <w:t xml:space="preserve">The findings inform forest policy across the four states, conservation prioritization within the regional ecological reserve system, climate adaptation planning, and the broader question of how working forest history shapes current and future forest age structure.</w:t>
      </w:r>
    </w:p>
    <w:p>
      <w:r>
        <w:pict>
          <v:rect style="width:0;height:1.5pt" o:hralign="center" o:hrstd="t" o:hr="t"/>
        </w:pict>
      </w:r>
    </w:p>
    <w:bookmarkEnd w:id="25"/>
    <w:bookmarkEnd w:id="26"/>
    <w:bookmarkStart w:id="27" w:name="notes-for-next-session"/>
    <w:p>
      <w:pPr>
        <w:pStyle w:val="Heading2"/>
      </w:pPr>
      <w:r>
        <w:t xml:space="preserve">Notes for next session</w:t>
      </w:r>
    </w:p>
    <w:p>
      <w:pPr>
        <w:pStyle w:val="FirstParagraph"/>
      </w:pPr>
      <w:r>
        <w:t xml:space="preserve">This V1 draft covers the Abstract and the Introduction (sections 1.1 through 1.5). Sections 2 through 5 (Methods, Results, Discussion, Conclusion) are still needed. The manuscript outline at MANUSCRIPT_OUTLINE.md has the structure; the regional results files in this folder have the data.</w:t>
      </w:r>
    </w:p>
    <w:p>
      <w:pPr>
        <w:pStyle w:val="BodyText"/>
      </w:pPr>
      <w:r>
        <w:t xml:space="preserve">Open items for V2:</w:t>
      </w:r>
    </w:p>
    <w:p>
      <w:pPr>
        <w:pStyle w:val="Compact"/>
        <w:numPr>
          <w:ilvl w:val="0"/>
          <w:numId w:val="1001"/>
        </w:numPr>
      </w:pPr>
      <w:r>
        <w:t xml:space="preserve">Aaron’s review of the V1 Introduction for voice, accuracy, and emphasis</w:t>
      </w:r>
    </w:p>
    <w:p>
      <w:pPr>
        <w:pStyle w:val="Compact"/>
        <w:numPr>
          <w:ilvl w:val="0"/>
          <w:numId w:val="1001"/>
        </w:numPr>
      </w:pPr>
      <w:r>
        <w:t xml:space="preserve">Coauthor input on framing (Adam Daigneault, Dan Hayes, possibly Thompson team)</w:t>
      </w:r>
    </w:p>
    <w:p>
      <w:pPr>
        <w:pStyle w:val="Compact"/>
        <w:numPr>
          <w:ilvl w:val="0"/>
          <w:numId w:val="1001"/>
        </w:numPr>
      </w:pPr>
      <w:r>
        <w:t xml:space="preserve">Specific citations to compile (RAP v2.0 protocol papers, Potapov canopy height paper, FIA methodology references, Northeast forest history references)</w:t>
      </w:r>
    </w:p>
    <w:p>
      <w:pPr>
        <w:pStyle w:val="Compact"/>
        <w:numPr>
          <w:ilvl w:val="0"/>
          <w:numId w:val="1001"/>
        </w:numPr>
      </w:pPr>
      <w:r>
        <w:t xml:space="preserve">Confirm exact statistics (4 states, 6,646 plots, etc.) against the unified plot table</w:t>
      </w:r>
    </w:p>
    <w:p>
      <w:pPr>
        <w:pStyle w:val="Compact"/>
        <w:numPr>
          <w:ilvl w:val="0"/>
          <w:numId w:val="1001"/>
        </w:numPr>
      </w:pPr>
      <w:r>
        <w:t xml:space="preserve">Confirm Adirondacks framing matches NY DEC and TNC understanding</w:t>
      </w:r>
    </w:p>
    <w:p>
      <w:pPr>
        <w:pStyle w:val="Compact"/>
        <w:numPr>
          <w:ilvl w:val="0"/>
          <w:numId w:val="1001"/>
        </w:numPr>
      </w:pPr>
      <w:r>
        <w:t xml:space="preserve">Draft sections 2 (Methods), 3 (Results), 4 (Discussion), 5 (Conclusion)</w:t>
      </w:r>
    </w:p>
    <w:p>
      <w:pPr>
        <w:pStyle w:val="FirstParagraph"/>
      </w:pPr>
      <w:r>
        <w:t xml:space="preserve">The V1 Introduction is approximately 1,200 words. The voice follows Aaron’s conventions (no decorative hyphens or em dashes; concise; technical; active voice).</w:t>
      </w:r>
    </w:p>
    <w:p>
      <w:pPr>
        <w:pStyle w:val="BodyText"/>
      </w:pPr>
      <w:r>
        <w:t xml:space="preserve">The Conversation article V2 already exists at</w:t>
      </w:r>
      <w:r>
        <w:t xml:space="preserve"> </w:t>
      </w:r>
      <w:r>
        <w:rPr>
          <w:rStyle w:val="VerbatimChar"/>
        </w:rPr>
        <w:t xml:space="preserve">~/Documents/Claude/CRSF-Cowork/active-projects/crsf-strategic-plan/conversation_article_draft_v2.md</w:t>
      </w:r>
      <w:r>
        <w:t xml:space="preserve"> </w:t>
      </w:r>
      <w:r>
        <w:t xml:space="preserve">using the same finding for a general audience. The peer reviewed manuscript here is the source citation for the Conversation article when it submits.</w:t>
      </w:r>
    </w:p>
    <w:p>
      <w:r>
        <w:pict>
          <v:rect style="width:0;height:1.5pt" o:hralign="center" o:hrstd="t" o:hr="t"/>
        </w:pict>
      </w:r>
    </w:p>
    <w:p>
      <w:pPr>
        <w:pStyle w:val="FirstParagraph"/>
      </w:pPr>
      <w:r>
        <w:rPr>
          <w:i/>
          <w:iCs/>
        </w:rPr>
        <w:t xml:space="preserve">Draft path:</w:t>
      </w:r>
      <w:r>
        <w:rPr>
          <w:i/>
          <w:iCs/>
        </w:rPr>
        <w:t xml:space="preserve"> </w:t>
      </w:r>
      <w:r>
        <w:rPr>
          <w:rStyle w:val="VerbatimChar"/>
          <w:i/>
          <w:iCs/>
        </w:rPr>
        <w:t xml:space="preserve">~/Documents/MAINE/DATA/FIA/ME/LSOG_cardinal_setup/MANUSCRIPT_DRAFT_V1_INTRODUCTION.md</w:t>
      </w:r>
      <w:r>
        <w:t xml:space="preserve"> </w:t>
      </w:r>
      <w:r>
        <w:rPr>
          <w:i/>
          <w:iCs/>
        </w:rPr>
        <w:t xml:space="preserve">Outline reference:</w:t>
      </w:r>
      <w:r>
        <w:rPr>
          <w:i/>
          <w:iCs/>
        </w:rPr>
        <w:t xml:space="preserve"> </w:t>
      </w:r>
      <w:r>
        <w:rPr>
          <w:rStyle w:val="VerbatimChar"/>
          <w:i/>
          <w:iCs/>
        </w:rPr>
        <w:t xml:space="preserve">~/Documents/MAINE/DATA/FIA/ME/LSOG_cardinal_setup/MANUSCRIPT_OUTLINE.md</w:t>
      </w:r>
      <w:r>
        <w:t xml:space="preserve"> </w:t>
      </w:r>
      <w:r>
        <w:rPr>
          <w:i/>
          <w:iCs/>
        </w:rPr>
        <w:t xml:space="preserve">Source data:</w:t>
      </w:r>
      <w:r>
        <w:rPr>
          <w:i/>
          <w:iCs/>
        </w:rPr>
        <w:t xml:space="preserve"> </w:t>
      </w:r>
      <w:r>
        <w:rPr>
          <w:rStyle w:val="VerbatimChar"/>
          <w:i/>
          <w:iCs/>
        </w:rPr>
        <w:t xml:space="preserve">~/Documents/MAINE/DATA/FIA/ME/LSOG_cardinal_setup/output_unified/lsog_ne_plot_table.csv</w:t>
      </w:r>
    </w:p>
    <w:bookmarkEnd w:id="27"/>
    <w:bookmarkStart w:id="37" w:name="methods"/>
    <w:p>
      <w:pPr>
        <w:pStyle w:val="Heading2"/>
      </w:pPr>
      <w:r>
        <w:t xml:space="preserve">2. Methods</w:t>
      </w:r>
    </w:p>
    <w:bookmarkStart w:id="28" w:name="study-area-and-fia-data"/>
    <w:p>
      <w:pPr>
        <w:pStyle w:val="Heading3"/>
      </w:pPr>
      <w:r>
        <w:t xml:space="preserve">2.1 Study area and FIA data</w:t>
      </w:r>
    </w:p>
    <w:p>
      <w:pPr>
        <w:pStyle w:val="FirstParagraph"/>
      </w:pPr>
      <w:r>
        <w:t xml:space="preserve">We analyzed FIA Phase 2 inventory plots in four Northeastern states: Maine, New Hampshire, Vermont, and New York. The plots span the 1999 to 2023 inventory period across five evaluation panels (1999 to 2003, 2004 to 2008, 2009 to 2013, 2014 to 2018, and 2019 to 2023). Sample sizes for the most recent panel are 3,125 in Maine, 757 in New Hampshire, 657 in Vermont, and 2,107 in New York, totaling 6,646 plots. The 1999 to 2003 panel includes a comparable number of plots in each state and supports the 20-year trend analysis.</w:t>
      </w:r>
    </w:p>
    <w:p>
      <w:pPr>
        <w:pStyle w:val="BodyText"/>
      </w:pPr>
      <w:r>
        <w:t xml:space="preserve">FIA plot location coordinates are publicly fuzzed up to approximately 1 kilometer to protect landowner privacy. For all spatial extractions in this study, fuzzed coordinates were used; the resulting noise on remote sensing extractions at 30 meter resolution is small but non-negligible and is discussed in Section 4.6.</w:t>
      </w:r>
    </w:p>
    <w:p>
      <w:pPr>
        <w:pStyle w:val="BodyText"/>
      </w:pPr>
      <w:r>
        <w:t xml:space="preserve">We assembled a master plot-level analytical table (output_unified/lsog_ne_plot_table.csv, 13,432 rows, 32 columns) containing for each plot in each evaluation period: state, panel identifier, plot CN, inventory year, fuzzed latitude and longitude, stand age, total basal area, basal area in trees with diameter at breast height (DBH) at least 20 inches, TPA-weighted standard deviation of DBH, maximum DBH, snag tree-per-acre estimates, the six v5.1 dimension scores, the v4, v5, and v5b classification results, the five Bayesian probability bands from ORNL DAAC dataset 2498 (Bruening et al. 2026), and the Potapov RH95 canopy height value extracted at the plot fuzzed centroid.</w:t>
      </w:r>
    </w:p>
    <w:bookmarkEnd w:id="28"/>
    <w:bookmarkStart w:id="29" w:name="the-v5.1-lsog-classifier"/>
    <w:p>
      <w:pPr>
        <w:pStyle w:val="Heading3"/>
      </w:pPr>
      <w:r>
        <w:t xml:space="preserve">2.2 The v5.1 LSOG classifier</w:t>
      </w:r>
    </w:p>
    <w:p>
      <w:pPr>
        <w:pStyle w:val="FirstParagraph"/>
      </w:pPr>
      <w:r>
        <w:t xml:space="preserve">The v5.1 classifier scores each plot on six structural dimensions and aggregates into a 0 to 12 total score. Class thresholds are: Transitioning LS (TLS) at score at least 4, Late Successional (LS) at score at least 6, and Old Growth (OG) at score at least 8.</w:t>
      </w:r>
    </w:p>
    <w:p>
      <w:pPr>
        <w:pStyle w:val="BodyText"/>
      </w:pPr>
      <w:r>
        <w:t xml:space="preserve">The six dimensions are large-tree basal area, stand maturity, structural diversity, total stocking, deadwood, and canopy height (Table 1).</w:t>
      </w:r>
    </w:p>
    <w:p>
      <w:pPr>
        <w:pStyle w:val="BodyText"/>
      </w:pPr>
      <w:r>
        <w:rPr>
          <w:b/>
          <w:bCs/>
        </w:rPr>
        <w:t xml:space="preserve">Table 1.</w:t>
      </w:r>
      <w:r>
        <w:t xml:space="preserve"> </w:t>
      </w:r>
      <w:r>
        <w:t xml:space="preserve">v5.1 dimension definitions and scoring.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w:t>
            </w:r>
          </w:p>
        </w:tc>
        <w:tc>
          <w:tcPr/>
          <w:p>
            <w:pPr>
              <w:pStyle w:val="Compact"/>
            </w:pPr>
            <w:r>
              <w:t xml:space="preserve">Variable</w:t>
            </w:r>
          </w:p>
        </w:tc>
        <w:tc>
          <w:tcPr/>
          <w:p>
            <w:pPr>
              <w:pStyle w:val="Compact"/>
            </w:pPr>
            <w:r>
              <w:t xml:space="preserve">Source</w:t>
            </w:r>
          </w:p>
        </w:tc>
        <w:tc>
          <w:tcPr/>
          <w:p>
            <w:pPr>
              <w:pStyle w:val="Compact"/>
            </w:pPr>
            <w:r>
              <w:t xml:space="preserve">1 point</w:t>
            </w:r>
          </w:p>
        </w:tc>
        <w:tc>
          <w:tcPr/>
          <w:p>
            <w:pPr>
              <w:pStyle w:val="Compact"/>
            </w:pPr>
            <w:r>
              <w:t xml:space="preserve">2 points</w:t>
            </w:r>
          </w:p>
        </w:tc>
      </w:tr>
      <w:tr>
        <w:tc>
          <w:tcPr/>
          <w:p>
            <w:pPr>
              <w:pStyle w:val="Compact"/>
            </w:pPr>
            <w:r>
              <w:t xml:space="preserve">1</w:t>
            </w:r>
          </w:p>
        </w:tc>
        <w:tc>
          <w:tcPr/>
          <w:p>
            <w:pPr>
              <w:pStyle w:val="Compact"/>
            </w:pPr>
            <w:r>
              <w:t xml:space="preserve">Large-tree BA</w:t>
            </w:r>
          </w:p>
        </w:tc>
        <w:tc>
          <w:tcPr/>
          <w:p>
            <w:pPr>
              <w:pStyle w:val="Compact"/>
            </w:pPr>
            <w:r>
              <w:t xml:space="preserve">Σ(0.005454 × DIA² × TPA) for DBH at least 20 in</w:t>
            </w:r>
          </w:p>
        </w:tc>
        <w:tc>
          <w:tcPr/>
          <w:p>
            <w:pPr>
              <w:pStyle w:val="Compact"/>
            </w:pPr>
            <w:r>
              <w:t xml:space="preserve">At least 40 ft²/ac</w:t>
            </w:r>
          </w:p>
        </w:tc>
        <w:tc>
          <w:tcPr/>
          <w:p>
            <w:pPr>
              <w:pStyle w:val="Compact"/>
            </w:pPr>
            <w:r>
              <w:t xml:space="preserve">At least 80 ft²/ac</w:t>
            </w:r>
          </w:p>
        </w:tc>
      </w:tr>
      <w:tr>
        <w:tc>
          <w:tcPr/>
          <w:p>
            <w:pPr>
              <w:pStyle w:val="Compact"/>
            </w:pPr>
            <w:r>
              <w:t xml:space="preserve">2</w:t>
            </w:r>
          </w:p>
        </w:tc>
        <w:tc>
          <w:tcPr/>
          <w:p>
            <w:pPr>
              <w:pStyle w:val="Compact"/>
            </w:pPr>
            <w:r>
              <w:t xml:space="preserve">Stand maturity</w:t>
            </w:r>
          </w:p>
        </w:tc>
        <w:tc>
          <w:tcPr/>
          <w:p>
            <w:pPr>
              <w:pStyle w:val="Compact"/>
            </w:pPr>
            <w:r>
              <w:t xml:space="preserve">STDAGE; max DBH fallback if STDAGE missing</w:t>
            </w:r>
          </w:p>
        </w:tc>
        <w:tc>
          <w:tcPr/>
          <w:p>
            <w:pPr>
              <w:pStyle w:val="Compact"/>
            </w:pPr>
            <w:r>
              <w:t xml:space="preserve">At least 80 yr (or DBH at least 24 in)</w:t>
            </w:r>
          </w:p>
        </w:tc>
        <w:tc>
          <w:tcPr/>
          <w:p>
            <w:pPr>
              <w:pStyle w:val="Compact"/>
            </w:pPr>
            <w:r>
              <w:t xml:space="preserve">At least 120 yr</w:t>
            </w:r>
          </w:p>
        </w:tc>
      </w:tr>
      <w:tr>
        <w:tc>
          <w:tcPr/>
          <w:p>
            <w:pPr>
              <w:pStyle w:val="Compact"/>
            </w:pPr>
            <w:r>
              <w:t xml:space="preserve">3</w:t>
            </w:r>
          </w:p>
        </w:tc>
        <w:tc>
          <w:tcPr/>
          <w:p>
            <w:pPr>
              <w:pStyle w:val="Compact"/>
            </w:pPr>
            <w:r>
              <w:t xml:space="preserve">Structural diversity</w:t>
            </w:r>
          </w:p>
        </w:tc>
        <w:tc>
          <w:tcPr/>
          <w:p>
            <w:pPr>
              <w:pStyle w:val="Compact"/>
            </w:pPr>
            <w:r>
              <w:t xml:space="preserve">TPA-weighted SD of DBH</w:t>
            </w:r>
          </w:p>
        </w:tc>
        <w:tc>
          <w:tcPr/>
          <w:p>
            <w:pPr>
              <w:pStyle w:val="Compact"/>
            </w:pPr>
            <w:r>
              <w:t xml:space="preserve">At least 5 in</w:t>
            </w:r>
          </w:p>
        </w:tc>
        <w:tc>
          <w:tcPr/>
          <w:p>
            <w:pPr>
              <w:pStyle w:val="Compact"/>
            </w:pPr>
            <w:r>
              <w:t xml:space="preserve">At least 8 in</w:t>
            </w:r>
          </w:p>
        </w:tc>
      </w:tr>
      <w:tr>
        <w:tc>
          <w:tcPr/>
          <w:p>
            <w:pPr>
              <w:pStyle w:val="Compact"/>
            </w:pPr>
            <w:r>
              <w:t xml:space="preserve">4</w:t>
            </w:r>
          </w:p>
        </w:tc>
        <w:tc>
          <w:tcPr/>
          <w:p>
            <w:pPr>
              <w:pStyle w:val="Compact"/>
            </w:pPr>
            <w:r>
              <w:t xml:space="preserve">Total stocking</w:t>
            </w:r>
          </w:p>
        </w:tc>
        <w:tc>
          <w:tcPr/>
          <w:p>
            <w:pPr>
              <w:pStyle w:val="Compact"/>
            </w:pPr>
            <w:r>
              <w:t xml:space="preserve">Total live BA, all DBH at least 1 in</w:t>
            </w:r>
          </w:p>
        </w:tc>
        <w:tc>
          <w:tcPr/>
          <w:p>
            <w:pPr>
              <w:pStyle w:val="Compact"/>
            </w:pPr>
            <w:r>
              <w:t xml:space="preserve">At least 100 ft²/ac</w:t>
            </w:r>
          </w:p>
        </w:tc>
        <w:tc>
          <w:tcPr/>
          <w:p>
            <w:pPr>
              <w:pStyle w:val="Compact"/>
            </w:pPr>
            <w:r>
              <w:t xml:space="preserve">At least 150 ft²/ac</w:t>
            </w:r>
          </w:p>
        </w:tc>
      </w:tr>
      <w:tr>
        <w:tc>
          <w:tcPr/>
          <w:p>
            <w:pPr>
              <w:pStyle w:val="Compact"/>
            </w:pPr>
            <w:r>
              <w:t xml:space="preserve">5</w:t>
            </w:r>
          </w:p>
        </w:tc>
        <w:tc>
          <w:tcPr/>
          <w:p>
            <w:pPr>
              <w:pStyle w:val="Compact"/>
            </w:pPr>
            <w:r>
              <w:t xml:space="preserve">Deadwood</w:t>
            </w:r>
          </w:p>
        </w:tc>
        <w:tc>
          <w:tcPr/>
          <w:p>
            <w:pPr>
              <w:pStyle w:val="Compact"/>
            </w:pPr>
            <w:r>
              <w:t xml:space="preserve">Standing snag TPA, DBH at least 5 in</w:t>
            </w:r>
          </w:p>
        </w:tc>
        <w:tc>
          <w:tcPr/>
          <w:p>
            <w:pPr>
              <w:pStyle w:val="Compact"/>
            </w:pPr>
            <w:r>
              <w:t xml:space="preserve">At least 75th percentile of state distribution</w:t>
            </w:r>
          </w:p>
        </w:tc>
        <w:tc>
          <w:tcPr/>
          <w:p>
            <w:pPr>
              <w:pStyle w:val="Compact"/>
            </w:pPr>
            <w:r>
              <w:t xml:space="preserve">At least 90th percentile</w:t>
            </w:r>
          </w:p>
        </w:tc>
      </w:tr>
      <w:tr>
        <w:tc>
          <w:tcPr/>
          <w:p>
            <w:pPr>
              <w:pStyle w:val="Compact"/>
            </w:pPr>
            <w:r>
              <w:t xml:space="preserve">6</w:t>
            </w:r>
          </w:p>
        </w:tc>
        <w:tc>
          <w:tcPr/>
          <w:p>
            <w:pPr>
              <w:pStyle w:val="Compact"/>
            </w:pPr>
            <w:r>
              <w:t xml:space="preserve">Canopy height</w:t>
            </w:r>
          </w:p>
        </w:tc>
        <w:tc>
          <w:tcPr/>
          <w:p>
            <w:pPr>
              <w:pStyle w:val="Compact"/>
            </w:pPr>
            <w:r>
              <w:t xml:space="preserve">Potapov 2021 RH95 (30 m grid)</w:t>
            </w:r>
          </w:p>
        </w:tc>
        <w:tc>
          <w:tcPr/>
          <w:p>
            <w:pPr>
              <w:pStyle w:val="Compact"/>
            </w:pPr>
            <w:r>
              <w:t xml:space="preserve">At least 18 m</w:t>
            </w:r>
          </w:p>
        </w:tc>
        <w:tc>
          <w:tcPr/>
          <w:p>
            <w:pPr>
              <w:pStyle w:val="Compact"/>
            </w:pPr>
            <w:r>
              <w:t xml:space="preserve">At least 25 m</w:t>
            </w:r>
          </w:p>
        </w:tc>
      </w:tr>
    </w:tbl>
    <w:p>
      <w:pPr>
        <w:pStyle w:val="BodyText"/>
      </w:pPr>
      <w:r>
        <w:t xml:space="preserve">Dimensions 1 through 5 derive from FIA tree and condition tables. Dimension 6 derives from the Potapov et al. (2021) GEDI/Landsat 30 meter canopy height mosaic, sampled at the plot fuzzed centroid.</w:t>
      </w:r>
    </w:p>
    <w:p>
      <w:pPr>
        <w:pStyle w:val="BodyText"/>
      </w:pPr>
      <w:r>
        <w:t xml:space="preserve">A bug in the deadwood scoring of an earlier classifier version was identified and fixed on March 19, 2026; the original code computed snag TPA from trees outside the plot boundary in some cases. All results reported here use the corrected classifier.</w:t>
      </w:r>
    </w:p>
    <w:bookmarkEnd w:id="29"/>
    <w:bookmarkStart w:id="30" w:name="calibration-of-the-v5.1-thresholds"/>
    <w:p>
      <w:pPr>
        <w:pStyle w:val="Heading3"/>
      </w:pPr>
      <w:r>
        <w:t xml:space="preserve">2.3 Calibration of the v5.1 thresholds</w:t>
      </w:r>
    </w:p>
    <w:p>
      <w:pPr>
        <w:pStyle w:val="FirstParagraph"/>
      </w:pPr>
      <w:r>
        <w:t xml:space="preserve">The v5.1 thresholds reported in Table 1 were calibrated through a grid search against two external references: (a) the Hagan et al. (2024) LiDAR-derived old-growth classification for Maine unorganized territories, which is treated as the canonical local reference, and (b) the ORNL DAAC dataset 2498 mature/old-growth probability layers, treated as a regional reference. The grid search optimized a composite score combining state-level any-LSOG share agreement with the ORNL 33 percent mature target and plot-level kappa against the Hagan reference. The calibrated thresholds are intentionally tighter than the published RAP v2.0 reference values.</w:t>
      </w:r>
    </w:p>
    <w:p>
      <w:pPr>
        <w:pStyle w:val="BodyText"/>
      </w:pPr>
      <w:r>
        <w:t xml:space="preserve">A separate sensitivity analysis on the canopy height dimension found that the default 18 and 25 meter RH95 thresholds are conservative. Lower thresholds (10 and 20 meters) and a continuous-RH95 logistic regression specification both achieved higher AUC against the ORNL mature classification (0.682 and 0.689 respectively, vs 0.644 for default). The deployed v5.1 classifier retains the 18 and 25 meter thresholds for consistency with the published RAP literature; alternative threshold sets are documented in the supplementary material.</w:t>
      </w:r>
    </w:p>
    <w:bookmarkEnd w:id="30"/>
    <w:bookmarkStart w:id="31" w:name="X1202e184dcacf00888c333bb3b4a4a025fbeab2"/>
    <w:p>
      <w:pPr>
        <w:pStyle w:val="Heading3"/>
      </w:pPr>
      <w:r>
        <w:t xml:space="preserve">2.4 v4 fallback classifier for historical analysis</w:t>
      </w:r>
    </w:p>
    <w:p>
      <w:pPr>
        <w:pStyle w:val="FirstParagraph"/>
      </w:pPr>
      <w:r>
        <w:t xml:space="preserve">The v4 classifier uses dimensions 1 through 5 of Table 1, omitting canopy height, and scales the class thresholds to 0 to 10 (TLS at least 4, LS at least 6, OG at least 8). The v4 form supports the 20-year trend analysis because the Potapov canopy height product is only available beginning in 2019 and cannot be applied to plots in pre-2019 panels.</w:t>
      </w:r>
    </w:p>
    <w:bookmarkEnd w:id="31"/>
    <w:bookmarkStart w:id="32" w:name="design-based-estimation"/>
    <w:p>
      <w:pPr>
        <w:pStyle w:val="Heading3"/>
      </w:pPr>
      <w:r>
        <w:t xml:space="preserve">2.5 Design-based estimation</w:t>
      </w:r>
    </w:p>
    <w:p>
      <w:pPr>
        <w:pStyle w:val="FirstParagraph"/>
      </w:pPr>
      <w:r>
        <w:t xml:space="preserve">State-level any-LSOG share estimates are computed using FIA Phase 2 design-based post-stratified estimation, weighting plots by EXPNS values from POP_PLOT_STRATUM_ASSGN joined to POP_STRATUM. Confidence intervals are computed using the design-based variance estimator following Bechtold and Patterson (2005). For comparison, we also report bootstrap percentile intervals (N = 2000 plot-level replicates) for the same quantities.</w:t>
      </w:r>
    </w:p>
    <w:p>
      <w:pPr>
        <w:pStyle w:val="BodyText"/>
      </w:pPr>
      <w:r>
        <w:t xml:space="preserve">Ownership breakdowns and forest-type breakdowns use the same design-based estimator stratified by OWNCD and FORTYPCD respectively. Carbon comparisons across LSOG classes use plot-level CARBON_AG aggregated by class.</w:t>
      </w:r>
    </w:p>
    <w:bookmarkEnd w:id="32"/>
    <w:bookmarkStart w:id="33" w:name="twenty-year-trend-analysis"/>
    <w:p>
      <w:pPr>
        <w:pStyle w:val="Heading3"/>
      </w:pPr>
      <w:r>
        <w:t xml:space="preserve">2.6 Twenty-year trend analysis</w:t>
      </w:r>
    </w:p>
    <w:p>
      <w:pPr>
        <w:pStyle w:val="FirstParagraph"/>
      </w:pPr>
      <w:r>
        <w:t xml:space="preserve">The 1999 to 2003 to 2019 to 2023 LSOG share trend was estimated via Mann Kendall non-parametric trend test on annual all-LSOG percent values (one value per evaluation panel, four values per state, plus the early baseline). Linear regression of LSOG percent on panel midpoint year provided the per-decade slope and significance test. Results are reported in Table 4.</w:t>
      </w:r>
    </w:p>
    <w:bookmarkEnd w:id="33"/>
    <w:bookmarkStart w:id="34" w:name="Xf7066162cca309ccee3baf7c90ed20fe4609fcf"/>
    <w:p>
      <w:pPr>
        <w:pStyle w:val="Heading3"/>
      </w:pPr>
      <w:r>
        <w:t xml:space="preserve">2.7 External cross-validation against Pelz et al. (2023)</w:t>
      </w:r>
    </w:p>
    <w:p>
      <w:pPr>
        <w:pStyle w:val="FirstParagraph"/>
      </w:pPr>
      <w:r>
        <w:t xml:space="preserve">We cross-validated the v5.1 classification against the Pelz et al. (2023) USFS old-growth criteria on National Forest System (NFS) plots in the four-state region. Pelz-OG criteria are STDAGE at least 100 years and at least 5 trees per acre with DBH at least 12 inches. The unified plot table was filtered to OWNCD = 31 (USFS), yielding 925 NFS plots. Cohen’s kappa was computed for v5.1 OG vs Pelz-OG, v5.1 LS+OG vs Pelz-OG, and v5.1 any-LSOG vs Pelz-OG.</w:t>
      </w:r>
    </w:p>
    <w:bookmarkEnd w:id="34"/>
    <w:bookmarkStart w:id="35" w:name="X28e69865d28599546891f996b4c9447ad23d052"/>
    <w:p>
      <w:pPr>
        <w:pStyle w:val="Heading3"/>
      </w:pPr>
      <w:r>
        <w:t xml:space="preserve">2.8 Wall-to-wall LSOG mapping via TreeMap imputation</w:t>
      </w:r>
    </w:p>
    <w:p>
      <w:pPr>
        <w:pStyle w:val="FirstParagraph"/>
      </w:pPr>
      <w:r>
        <w:t xml:space="preserve">We extended the plot-based v5.1 classification to wall-to-wall 30 meter raster maps using the USFS TreeMap product (Riley et al. 2021, 2022). TreeMap imputes a representative FIA plot identifier (PLT_CN) to each forested 30 meter pixel in CONUS through random forest imputation against Landsat composites and topographic predictors. The 2020 and 2022 vintages of TreeMap were used.</w:t>
      </w:r>
    </w:p>
    <w:p>
      <w:pPr>
        <w:pStyle w:val="BodyText"/>
      </w:pPr>
      <w:r>
        <w:t xml:space="preserve">For each pixel, we joined the imputed PLT_CN to a hybrid plot-level lookup that prefers the v5.1 class for plots in the 2019 to 2023 panel (where Potapov canopy height is temporally appropriate) and falls back to the v4 class for plots in older panels. The hybrid lookup contained 43,389 plot-period entries, of which 6,570 (15 percent) used v5 and 36,819 (85 percent) used v4. Pixel-level acreage estimates were obtained as pixel count multiplied by 0.222394 acres per pixel.</w:t>
      </w:r>
    </w:p>
    <w:p>
      <w:pPr>
        <w:pStyle w:val="BodyText"/>
      </w:pPr>
      <w:r>
        <w:t xml:space="preserve">A subtlety in the TreeMap raster’s categorical attribute table required the categorical levels to be cleared (levels(rc) is set to NULL in the R terra package) before frequency tabulation, otherwise terra::freq returns the active categorical column (ForTypName by default) rather than the integer Value codes that match the vat.dbf TM_ID column.</w:t>
      </w:r>
    </w:p>
    <w:bookmarkEnd w:id="35"/>
    <w:bookmarkStart w:id="36" w:name="reproducibility"/>
    <w:p>
      <w:pPr>
        <w:pStyle w:val="Heading3"/>
      </w:pPr>
      <w:r>
        <w:t xml:space="preserve">2.9 Reproducibility</w:t>
      </w:r>
    </w:p>
    <w:p>
      <w:pPr>
        <w:pStyle w:val="FirstParagraph"/>
      </w:pPr>
      <w:r>
        <w:t xml:space="preserve">All code is at github.com/holoros/lsog-ne (commit history continuously pushed; Phase 8 v3 and v3-Potapov landed April 30, 2026). The Cardinal HPC working directory is at /users/PUOM0008/crsfaaron/LSOG/. The master analytical artifact is output_unified/lsog_ne_plot_table.csv. A persistent project memory file is committed at CLAUDE.md.</w:t>
      </w:r>
    </w:p>
    <w:p>
      <w:r>
        <w:pict>
          <v:rect style="width:0;height:1.5pt" o:hralign="center" o:hrstd="t" o:hr="t"/>
        </w:pict>
      </w:r>
    </w:p>
    <w:bookmarkEnd w:id="36"/>
    <w:bookmarkEnd w:id="37"/>
    <w:bookmarkStart w:id="44" w:name="results"/>
    <w:p>
      <w:pPr>
        <w:pStyle w:val="Heading2"/>
      </w:pPr>
      <w:r>
        <w:t xml:space="preserve">3. Results</w:t>
      </w:r>
    </w:p>
    <w:bookmarkStart w:id="38" w:name="state-level-v5.1-lsog-share"/>
    <w:p>
      <w:pPr>
        <w:pStyle w:val="Heading3"/>
      </w:pPr>
      <w:r>
        <w:t xml:space="preserve">3.1 State-level v5.1 LSOG share</w:t>
      </w:r>
    </w:p>
    <w:p>
      <w:pPr>
        <w:pStyle w:val="FirstParagraph"/>
      </w:pPr>
      <w:r>
        <w:t xml:space="preserve">Table 2 shows the v5.1 plot-based and design-based estimates for the most recent panel (2019 to 2023).</w:t>
      </w:r>
    </w:p>
    <w:p>
      <w:pPr>
        <w:pStyle w:val="BodyText"/>
      </w:pPr>
      <w:r>
        <w:rPr>
          <w:b/>
          <w:bCs/>
        </w:rPr>
        <w:t xml:space="preserve">Table 2.</w:t>
      </w:r>
      <w:r>
        <w:t xml:space="preserve"> </w:t>
      </w:r>
      <w:r>
        <w:t xml:space="preserve">State-level v5.1 LSOG share, 2019 to 2023 panel.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jc w:val="right"/>
            </w:pPr>
            <w:r>
              <w:t xml:space="preserve">n plots</w:t>
            </w:r>
          </w:p>
        </w:tc>
        <w:tc>
          <w:tcPr/>
          <w:p>
            <w:pPr>
              <w:pStyle w:val="Compact"/>
            </w:pPr>
            <w:r>
              <w:t xml:space="preserve">Any-LSOG (95% CI)</w:t>
            </w:r>
          </w:p>
        </w:tc>
        <w:tc>
          <w:tcPr/>
          <w:p>
            <w:pPr>
              <w:pStyle w:val="Compact"/>
              <w:jc w:val="right"/>
            </w:pPr>
            <w:r>
              <w:t xml:space="preserve">Trans LS</w:t>
            </w:r>
          </w:p>
        </w:tc>
        <w:tc>
          <w:tcPr/>
          <w:p>
            <w:pPr>
              <w:pStyle w:val="Compact"/>
              <w:jc w:val="right"/>
            </w:pPr>
            <w:r>
              <w:t xml:space="preserve">LS</w:t>
            </w:r>
          </w:p>
        </w:tc>
        <w:tc>
          <w:tcPr/>
          <w:p>
            <w:pPr>
              <w:pStyle w:val="Compact"/>
              <w:jc w:val="right"/>
            </w:pPr>
            <w:r>
              <w:t xml:space="preserve">OG</w:t>
            </w:r>
          </w:p>
        </w:tc>
      </w:tr>
      <w:tr>
        <w:tc>
          <w:tcPr/>
          <w:p>
            <w:pPr>
              <w:pStyle w:val="Compact"/>
            </w:pPr>
            <w:r>
              <w:t xml:space="preserve">Maine</w:t>
            </w:r>
          </w:p>
        </w:tc>
        <w:tc>
          <w:tcPr/>
          <w:p>
            <w:pPr>
              <w:pStyle w:val="Compact"/>
              <w:jc w:val="right"/>
            </w:pPr>
            <w:r>
              <w:t xml:space="preserve">3,125</w:t>
            </w:r>
          </w:p>
        </w:tc>
        <w:tc>
          <w:tcPr/>
          <w:p>
            <w:pPr>
              <w:pStyle w:val="Compact"/>
            </w:pPr>
            <w:r>
              <w:t xml:space="preserve">14.1% (12.9 to 15.3)</w:t>
            </w:r>
          </w:p>
        </w:tc>
        <w:tc>
          <w:tcPr/>
          <w:p>
            <w:pPr>
              <w:pStyle w:val="Compact"/>
              <w:jc w:val="right"/>
            </w:pPr>
            <w:r>
              <w:t xml:space="preserve">8.4%</w:t>
            </w:r>
          </w:p>
        </w:tc>
        <w:tc>
          <w:tcPr/>
          <w:p>
            <w:pPr>
              <w:pStyle w:val="Compact"/>
              <w:jc w:val="right"/>
            </w:pPr>
            <w:r>
              <w:t xml:space="preserve">5.4%</w:t>
            </w:r>
          </w:p>
        </w:tc>
        <w:tc>
          <w:tcPr/>
          <w:p>
            <w:pPr>
              <w:pStyle w:val="Compact"/>
              <w:jc w:val="right"/>
            </w:pPr>
            <w:r>
              <w:t xml:space="preserve">0.19%</w:t>
            </w:r>
          </w:p>
        </w:tc>
      </w:tr>
      <w:tr>
        <w:tc>
          <w:tcPr/>
          <w:p>
            <w:pPr>
              <w:pStyle w:val="Compact"/>
            </w:pPr>
            <w:r>
              <w:t xml:space="preserve">New York</w:t>
            </w:r>
          </w:p>
        </w:tc>
        <w:tc>
          <w:tcPr/>
          <w:p>
            <w:pPr>
              <w:pStyle w:val="Compact"/>
              <w:jc w:val="right"/>
            </w:pPr>
            <w:r>
              <w:t xml:space="preserve">2,107</w:t>
            </w:r>
          </w:p>
        </w:tc>
        <w:tc>
          <w:tcPr/>
          <w:p>
            <w:pPr>
              <w:pStyle w:val="Compact"/>
            </w:pPr>
            <w:r>
              <w:t xml:space="preserve">27.2% (25.2 to 29.0)</w:t>
            </w:r>
          </w:p>
        </w:tc>
        <w:tc>
          <w:tcPr/>
          <w:p>
            <w:pPr>
              <w:pStyle w:val="Compact"/>
              <w:jc w:val="right"/>
            </w:pPr>
            <w:r>
              <w:t xml:space="preserve">16.1%</w:t>
            </w:r>
          </w:p>
        </w:tc>
        <w:tc>
          <w:tcPr/>
          <w:p>
            <w:pPr>
              <w:pStyle w:val="Compact"/>
              <w:jc w:val="right"/>
            </w:pPr>
            <w:r>
              <w:t xml:space="preserve">9.6%</w:t>
            </w:r>
          </w:p>
        </w:tc>
        <w:tc>
          <w:tcPr/>
          <w:p>
            <w:pPr>
              <w:pStyle w:val="Compact"/>
              <w:jc w:val="right"/>
            </w:pPr>
            <w:r>
              <w:t xml:space="preserve">1.5%</w:t>
            </w:r>
          </w:p>
        </w:tc>
      </w:tr>
      <w:tr>
        <w:tc>
          <w:tcPr/>
          <w:p>
            <w:pPr>
              <w:pStyle w:val="Compact"/>
            </w:pPr>
            <w:r>
              <w:t xml:space="preserve">Vermont</w:t>
            </w:r>
          </w:p>
        </w:tc>
        <w:tc>
          <w:tcPr/>
          <w:p>
            <w:pPr>
              <w:pStyle w:val="Compact"/>
              <w:jc w:val="right"/>
            </w:pPr>
            <w:r>
              <w:t xml:space="preserve">657</w:t>
            </w:r>
          </w:p>
        </w:tc>
        <w:tc>
          <w:tcPr/>
          <w:p>
            <w:pPr>
              <w:pStyle w:val="Compact"/>
            </w:pPr>
            <w:r>
              <w:t xml:space="preserve">28.8% (25.4 to 32.3)</w:t>
            </w:r>
          </w:p>
        </w:tc>
        <w:tc>
          <w:tcPr/>
          <w:p>
            <w:pPr>
              <w:pStyle w:val="Compact"/>
              <w:jc w:val="right"/>
            </w:pPr>
            <w:r>
              <w:t xml:space="preserve">19.9%</w:t>
            </w:r>
          </w:p>
        </w:tc>
        <w:tc>
          <w:tcPr/>
          <w:p>
            <w:pPr>
              <w:pStyle w:val="Compact"/>
              <w:jc w:val="right"/>
            </w:pPr>
            <w:r>
              <w:t xml:space="preserve">8.6%</w:t>
            </w:r>
          </w:p>
        </w:tc>
        <w:tc>
          <w:tcPr/>
          <w:p>
            <w:pPr>
              <w:pStyle w:val="Compact"/>
              <w:jc w:val="right"/>
            </w:pPr>
            <w:r>
              <w:t xml:space="preserve">0.30%</w:t>
            </w:r>
          </w:p>
        </w:tc>
      </w:tr>
      <w:tr>
        <w:tc>
          <w:tcPr/>
          <w:p>
            <w:pPr>
              <w:pStyle w:val="Compact"/>
            </w:pPr>
            <w:r>
              <w:t xml:space="preserve">New Hampshire</w:t>
            </w:r>
          </w:p>
        </w:tc>
        <w:tc>
          <w:tcPr/>
          <w:p>
            <w:pPr>
              <w:pStyle w:val="Compact"/>
              <w:jc w:val="right"/>
            </w:pPr>
            <w:r>
              <w:t xml:space="preserve">757</w:t>
            </w:r>
          </w:p>
        </w:tc>
        <w:tc>
          <w:tcPr/>
          <w:p>
            <w:pPr>
              <w:pStyle w:val="Compact"/>
            </w:pPr>
            <w:r>
              <w:t xml:space="preserve">31.2% (28.0 to 34.3)</w:t>
            </w:r>
          </w:p>
        </w:tc>
        <w:tc>
          <w:tcPr/>
          <w:p>
            <w:pPr>
              <w:pStyle w:val="Compact"/>
              <w:jc w:val="right"/>
            </w:pPr>
            <w:r>
              <w:t xml:space="preserve">21.0%</w:t>
            </w:r>
          </w:p>
        </w:tc>
        <w:tc>
          <w:tcPr/>
          <w:p>
            <w:pPr>
              <w:pStyle w:val="Compact"/>
              <w:jc w:val="right"/>
            </w:pPr>
            <w:r>
              <w:t xml:space="preserve">9.5%</w:t>
            </w:r>
          </w:p>
        </w:tc>
        <w:tc>
          <w:tcPr/>
          <w:p>
            <w:pPr>
              <w:pStyle w:val="Compact"/>
              <w:jc w:val="right"/>
            </w:pPr>
            <w:r>
              <w:t xml:space="preserve">0.66%</w:t>
            </w:r>
          </w:p>
        </w:tc>
      </w:tr>
    </w:tbl>
    <w:p>
      <w:pPr>
        <w:pStyle w:val="BodyText"/>
      </w:pPr>
      <w:r>
        <w:t xml:space="preserve">Maine has the lowest any-LSOG share in the four-state region. The Maine 95 percent CI does not overlap any of the other three states’ CIs. New Hampshire has the highest share at 31.2 percent, more than twice Maine’s. New York has the highest old-growth-class share at 1.5 percent, reflecting the Adirondacks. The OG-class shares for Maine, New Hampshire, and Vermont are all under 1 percent.</w:t>
      </w:r>
    </w:p>
    <w:bookmarkEnd w:id="38"/>
    <w:bookmarkStart w:id="39" w:name="twenty-year-lsog-trend"/>
    <w:p>
      <w:pPr>
        <w:pStyle w:val="Heading3"/>
      </w:pPr>
      <w:r>
        <w:t xml:space="preserve">3.2 Twenty-year LSOG trend</w:t>
      </w:r>
    </w:p>
    <w:p>
      <w:pPr>
        <w:pStyle w:val="FirstParagraph"/>
      </w:pPr>
      <w:r>
        <w:t xml:space="preserve">Table 3 reports per-decade slopes from linear regression of all-LSOG percent on panel midpoint year, using the v4 classifier for cross-panel comparability.</w:t>
      </w:r>
    </w:p>
    <w:p>
      <w:pPr>
        <w:pStyle w:val="BodyText"/>
      </w:pPr>
      <w:r>
        <w:rPr>
          <w:b/>
          <w:bCs/>
        </w:rPr>
        <w:t xml:space="preserve">Table 3.</w:t>
      </w:r>
      <w:r>
        <w:t xml:space="preserve"> </w:t>
      </w:r>
      <w:r>
        <w:t xml:space="preserve">Twenty-year all-LSOG slope, 1999 to 2023.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jc w:val="right"/>
            </w:pPr>
            <w:r>
              <w:t xml:space="preserve">Slope (pp / decade)</w:t>
            </w:r>
          </w:p>
        </w:tc>
        <w:tc>
          <w:tcPr/>
          <w:p>
            <w:pPr>
              <w:pStyle w:val="Compact"/>
              <w:jc w:val="right"/>
            </w:pPr>
            <w:r>
              <w:t xml:space="preserve">p-value</w:t>
            </w:r>
          </w:p>
        </w:tc>
        <w:tc>
          <w:tcPr/>
          <w:p>
            <w:pPr>
              <w:pStyle w:val="Compact"/>
            </w:pPr>
            <w:r>
              <w:t xml:space="preserve">Significance</w:t>
            </w:r>
          </w:p>
        </w:tc>
      </w:tr>
      <w:tr>
        <w:tc>
          <w:tcPr/>
          <w:p>
            <w:pPr>
              <w:pStyle w:val="Compact"/>
            </w:pPr>
            <w:r>
              <w:t xml:space="preserve">New Hampshire</w:t>
            </w:r>
          </w:p>
        </w:tc>
        <w:tc>
          <w:tcPr/>
          <w:p>
            <w:pPr>
              <w:pStyle w:val="Compact"/>
              <w:jc w:val="right"/>
            </w:pPr>
            <w:r>
              <w:t xml:space="preserve">+11.1</w:t>
            </w:r>
          </w:p>
        </w:tc>
        <w:tc>
          <w:tcPr/>
          <w:p>
            <w:pPr>
              <w:pStyle w:val="Compact"/>
              <w:jc w:val="right"/>
            </w:pPr>
            <w:r>
              <w:t xml:space="preserve">&lt; 0.001</w:t>
            </w:r>
          </w:p>
        </w:tc>
        <w:tc>
          <w:tcPr/>
          <w:p>
            <w:pPr>
              <w:pStyle w:val="Compact"/>
            </w:pPr>
            <w:r>
              <w:t xml:space="preserve">strongly increasing</w:t>
            </w:r>
          </w:p>
        </w:tc>
      </w:tr>
      <w:tr>
        <w:tc>
          <w:tcPr/>
          <w:p>
            <w:pPr>
              <w:pStyle w:val="Compact"/>
            </w:pPr>
            <w:r>
              <w:t xml:space="preserve">Vermont</w:t>
            </w:r>
          </w:p>
        </w:tc>
        <w:tc>
          <w:tcPr/>
          <w:p>
            <w:pPr>
              <w:pStyle w:val="Compact"/>
              <w:jc w:val="right"/>
            </w:pPr>
            <w:r>
              <w:t xml:space="preserve">+9.1</w:t>
            </w:r>
          </w:p>
        </w:tc>
        <w:tc>
          <w:tcPr/>
          <w:p>
            <w:pPr>
              <w:pStyle w:val="Compact"/>
              <w:jc w:val="right"/>
            </w:pPr>
            <w:r>
              <w:t xml:space="preserve">0.024</w:t>
            </w:r>
          </w:p>
        </w:tc>
        <w:tc>
          <w:tcPr/>
          <w:p>
            <w:pPr>
              <w:pStyle w:val="Compact"/>
            </w:pPr>
            <w:r>
              <w:t xml:space="preserve">increasing</w:t>
            </w:r>
          </w:p>
        </w:tc>
      </w:tr>
      <w:tr>
        <w:tc>
          <w:tcPr/>
          <w:p>
            <w:pPr>
              <w:pStyle w:val="Compact"/>
            </w:pPr>
            <w:r>
              <w:t xml:space="preserve">New York</w:t>
            </w:r>
          </w:p>
        </w:tc>
        <w:tc>
          <w:tcPr/>
          <w:p>
            <w:pPr>
              <w:pStyle w:val="Compact"/>
              <w:jc w:val="right"/>
            </w:pPr>
            <w:r>
              <w:t xml:space="preserve">+8.9</w:t>
            </w:r>
          </w:p>
        </w:tc>
        <w:tc>
          <w:tcPr/>
          <w:p>
            <w:pPr>
              <w:pStyle w:val="Compact"/>
              <w:jc w:val="right"/>
            </w:pPr>
            <w:r>
              <w:t xml:space="preserve">0.002</w:t>
            </w:r>
          </w:p>
        </w:tc>
        <w:tc>
          <w:tcPr/>
          <w:p>
            <w:pPr>
              <w:pStyle w:val="Compact"/>
            </w:pPr>
            <w:r>
              <w:t xml:space="preserve">strongly increasing</w:t>
            </w:r>
          </w:p>
        </w:tc>
      </w:tr>
      <w:tr>
        <w:tc>
          <w:tcPr/>
          <w:p>
            <w:pPr>
              <w:pStyle w:val="Compact"/>
            </w:pPr>
            <w:r>
              <w:t xml:space="preserve">Maine</w:t>
            </w:r>
          </w:p>
        </w:tc>
        <w:tc>
          <w:tcPr/>
          <w:p>
            <w:pPr>
              <w:pStyle w:val="Compact"/>
              <w:jc w:val="right"/>
            </w:pPr>
            <w:r>
              <w:t xml:space="preserve">+1.6</w:t>
            </w:r>
          </w:p>
        </w:tc>
        <w:tc>
          <w:tcPr/>
          <w:p>
            <w:pPr>
              <w:pStyle w:val="Compact"/>
              <w:jc w:val="right"/>
            </w:pPr>
            <w:r>
              <w:t xml:space="preserve">0.057</w:t>
            </w:r>
          </w:p>
        </w:tc>
        <w:tc>
          <w:tcPr/>
          <w:p>
            <w:pPr>
              <w:pStyle w:val="Compact"/>
            </w:pPr>
            <w:r>
              <w:t xml:space="preserve">borderline</w:t>
            </w:r>
          </w:p>
        </w:tc>
      </w:tr>
    </w:tbl>
    <w:p>
      <w:pPr>
        <w:pStyle w:val="BodyText"/>
      </w:pPr>
      <w:r>
        <w:t xml:space="preserve">New Hampshire, Vermont, and New York are aging at significant rates of 9 to 11 percentage points per decade. Maine’s slope is borderline and substantially smaller. The regional gap between Maine and the others is widening rather than closing.</w:t>
      </w:r>
    </w:p>
    <w:bookmarkEnd w:id="39"/>
    <w:bookmarkStart w:id="40" w:name="ownership-and-policy-relevant-breakdowns"/>
    <w:p>
      <w:pPr>
        <w:pStyle w:val="Heading3"/>
      </w:pPr>
      <w:r>
        <w:t xml:space="preserve">3.3 Ownership and policy-relevant breakdowns</w:t>
      </w:r>
    </w:p>
    <w:p>
      <w:pPr>
        <w:pStyle w:val="FirstParagraph"/>
      </w:pPr>
      <w:r>
        <w:t xml:space="preserve">Public lands across the four states carry approximately 1.5 to 3 times the LSOG concentration of private lands (Table 4).</w:t>
      </w:r>
    </w:p>
    <w:p>
      <w:pPr>
        <w:pStyle w:val="BodyText"/>
      </w:pPr>
      <w:r>
        <w:rPr>
          <w:b/>
          <w:bCs/>
        </w:rPr>
        <w:t xml:space="preserve">Table 4.</w:t>
      </w:r>
      <w:r>
        <w:t xml:space="preserve"> </w:t>
      </w:r>
      <w:r>
        <w:t xml:space="preserve">Public versus private LSOG concentration by state, 2019 to 2023 v5.1.</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State</w:t>
            </w:r>
          </w:p>
        </w:tc>
        <w:tc>
          <w:tcPr/>
          <w:p>
            <w:pPr>
              <w:pStyle w:val="Compact"/>
              <w:jc w:val="right"/>
            </w:pPr>
            <w:r>
              <w:t xml:space="preserve">Federal LSOG %</w:t>
            </w:r>
          </w:p>
        </w:tc>
        <w:tc>
          <w:tcPr/>
          <w:p>
            <w:pPr>
              <w:pStyle w:val="Compact"/>
              <w:jc w:val="right"/>
            </w:pPr>
            <w:r>
              <w:t xml:space="preserve">Private LSOG %</w:t>
            </w:r>
          </w:p>
        </w:tc>
        <w:tc>
          <w:tcPr/>
          <w:p>
            <w:pPr>
              <w:pStyle w:val="Compact"/>
              <w:jc w:val="right"/>
            </w:pPr>
            <w:r>
              <w:t xml:space="preserve">Ratio</w:t>
            </w:r>
          </w:p>
        </w:tc>
      </w:tr>
      <w:tr>
        <w:tc>
          <w:tcPr/>
          <w:p>
            <w:pPr>
              <w:pStyle w:val="Compact"/>
            </w:pPr>
            <w:r>
              <w:t xml:space="preserve">Maine</w:t>
            </w:r>
          </w:p>
        </w:tc>
        <w:tc>
          <w:tcPr/>
          <w:p>
            <w:pPr>
              <w:pStyle w:val="Compact"/>
              <w:jc w:val="right"/>
            </w:pPr>
            <w:r>
              <w:t xml:space="preserve">36%</w:t>
            </w:r>
          </w:p>
        </w:tc>
        <w:tc>
          <w:tcPr/>
          <w:p>
            <w:pPr>
              <w:pStyle w:val="Compact"/>
              <w:jc w:val="right"/>
            </w:pPr>
            <w:r>
              <w:t xml:space="preserve">14%</w:t>
            </w:r>
          </w:p>
        </w:tc>
        <w:tc>
          <w:tcPr/>
          <w:p>
            <w:pPr>
              <w:pStyle w:val="Compact"/>
              <w:jc w:val="right"/>
            </w:pPr>
            <w:r>
              <w:t xml:space="preserve">2.6</w:t>
            </w:r>
          </w:p>
        </w:tc>
      </w:tr>
      <w:tr>
        <w:tc>
          <w:tcPr/>
          <w:p>
            <w:pPr>
              <w:pStyle w:val="Compact"/>
            </w:pPr>
            <w:r>
              <w:t xml:space="preserve">New Hampshire</w:t>
            </w:r>
          </w:p>
        </w:tc>
        <w:tc>
          <w:tcPr/>
          <w:p>
            <w:pPr>
              <w:pStyle w:val="Compact"/>
              <w:jc w:val="right"/>
            </w:pPr>
            <w:r>
              <w:t xml:space="preserve">51%</w:t>
            </w:r>
          </w:p>
        </w:tc>
        <w:tc>
          <w:tcPr/>
          <w:p>
            <w:pPr>
              <w:pStyle w:val="Compact"/>
              <w:jc w:val="right"/>
            </w:pPr>
            <w:r>
              <w:t xml:space="preserve">21%</w:t>
            </w:r>
          </w:p>
        </w:tc>
        <w:tc>
          <w:tcPr/>
          <w:p>
            <w:pPr>
              <w:pStyle w:val="Compact"/>
              <w:jc w:val="right"/>
            </w:pPr>
            <w:r>
              <w:t xml:space="preserve">2.4</w:t>
            </w:r>
          </w:p>
        </w:tc>
      </w:tr>
      <w:tr>
        <w:tc>
          <w:tcPr/>
          <w:p>
            <w:pPr>
              <w:pStyle w:val="Compact"/>
            </w:pPr>
            <w:r>
              <w:t xml:space="preserve">Vermont</w:t>
            </w:r>
          </w:p>
        </w:tc>
        <w:tc>
          <w:tcPr/>
          <w:p>
            <w:pPr>
              <w:pStyle w:val="Compact"/>
              <w:jc w:val="right"/>
            </w:pPr>
            <w:r>
              <w:t xml:space="preserve">45%</w:t>
            </w:r>
          </w:p>
        </w:tc>
        <w:tc>
          <w:tcPr/>
          <w:p>
            <w:pPr>
              <w:pStyle w:val="Compact"/>
              <w:jc w:val="right"/>
            </w:pPr>
            <w:r>
              <w:t xml:space="preserve">26%</w:t>
            </w:r>
          </w:p>
        </w:tc>
        <w:tc>
          <w:tcPr/>
          <w:p>
            <w:pPr>
              <w:pStyle w:val="Compact"/>
              <w:jc w:val="right"/>
            </w:pPr>
            <w:r>
              <w:t xml:space="preserve">1.7</w:t>
            </w:r>
          </w:p>
        </w:tc>
      </w:tr>
      <w:tr>
        <w:tc>
          <w:tcPr/>
          <w:p>
            <w:pPr>
              <w:pStyle w:val="Compact"/>
            </w:pPr>
            <w:r>
              <w:t xml:space="preserve">New York</w:t>
            </w:r>
          </w:p>
        </w:tc>
        <w:tc>
          <w:tcPr/>
          <w:p>
            <w:pPr>
              <w:pStyle w:val="Compact"/>
              <w:jc w:val="right"/>
            </w:pPr>
            <w:r>
              <w:t xml:space="preserve">(state and local) 17.5% LS+OG = 583 K ac</w:t>
            </w:r>
          </w:p>
        </w:tc>
        <w:tc>
          <w:tcPr/>
          <w:p>
            <w:pPr>
              <w:pStyle w:val="Compact"/>
              <w:jc w:val="right"/>
            </w:pPr>
            <w:r>
              <w:t xml:space="preserve">(private) varies</w:t>
            </w:r>
          </w:p>
        </w:tc>
        <w:tc>
          <w:tcPr/>
          <w:p>
            <w:pPr>
              <w:pStyle w:val="Compact"/>
              <w:jc w:val="right"/>
            </w:pPr>
            <w:r>
              <w:t xml:space="preserve">n/a</w:t>
            </w:r>
          </w:p>
        </w:tc>
      </w:tr>
    </w:tbl>
    <w:p>
      <w:pPr>
        <w:pStyle w:val="BodyText"/>
      </w:pPr>
      <w:r>
        <w:t xml:space="preserve">New York state and local lands carry 583,000 acres of LS+OG combined, exceeding Maine’s total LS+OG across all owners. Across the region, private timberlands hold approximately 987,000 acres of LS+OG combined, which is the natural target audience for payment for ecosystem services or working-lands easement programs.</w:t>
      </w:r>
    </w:p>
    <w:bookmarkEnd w:id="40"/>
    <w:bookmarkStart w:id="41" w:name="carbon-storage-by-class"/>
    <w:p>
      <w:pPr>
        <w:pStyle w:val="Heading3"/>
      </w:pPr>
      <w:r>
        <w:t xml:space="preserve">3.4 Carbon storage by class</w:t>
      </w:r>
    </w:p>
    <w:p>
      <w:pPr>
        <w:pStyle w:val="FirstParagraph"/>
      </w:pPr>
      <w:r>
        <w:t xml:space="preserve">Plot-level live aboveground carbon scales monotonically with LSOG class (Table 5).</w:t>
      </w:r>
    </w:p>
    <w:p>
      <w:pPr>
        <w:pStyle w:val="BodyText"/>
      </w:pPr>
      <w:r>
        <w:rPr>
          <w:b/>
          <w:bCs/>
        </w:rPr>
        <w:t xml:space="preserve">Table 5.</w:t>
      </w:r>
      <w:r>
        <w:t xml:space="preserve"> </w:t>
      </w:r>
      <w:r>
        <w:t xml:space="preserve">Maine plot-level live aboveground carbon by v5.1 class.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jc w:val="right"/>
            </w:pPr>
            <w:r>
              <w:t xml:space="preserve">Mean carbon (Mg C / ha)</w:t>
            </w:r>
          </w:p>
        </w:tc>
        <w:tc>
          <w:tcPr/>
          <w:p>
            <w:pPr>
              <w:pStyle w:val="Compact"/>
              <w:jc w:val="right"/>
            </w:pPr>
            <w:r>
              <w:t xml:space="preserve">Ratio to Not-LSOG</w:t>
            </w:r>
          </w:p>
        </w:tc>
      </w:tr>
      <w:tr>
        <w:tc>
          <w:tcPr/>
          <w:p>
            <w:pPr>
              <w:pStyle w:val="Compact"/>
            </w:pPr>
            <w:r>
              <w:t xml:space="preserve">Not LSOG</w:t>
            </w:r>
          </w:p>
        </w:tc>
        <w:tc>
          <w:tcPr/>
          <w:p>
            <w:pPr>
              <w:pStyle w:val="Compact"/>
              <w:jc w:val="right"/>
            </w:pPr>
            <w:r>
              <w:t xml:space="preserve">39</w:t>
            </w:r>
          </w:p>
        </w:tc>
        <w:tc>
          <w:tcPr/>
          <w:p>
            <w:pPr>
              <w:pStyle w:val="Compact"/>
              <w:jc w:val="right"/>
            </w:pPr>
            <w:r>
              <w:t xml:space="preserve">1.0</w:t>
            </w:r>
          </w:p>
        </w:tc>
      </w:tr>
      <w:tr>
        <w:tc>
          <w:tcPr/>
          <w:p>
            <w:pPr>
              <w:pStyle w:val="Compact"/>
            </w:pPr>
            <w:r>
              <w:t xml:space="preserve">TLS</w:t>
            </w:r>
          </w:p>
        </w:tc>
        <w:tc>
          <w:tcPr/>
          <w:p>
            <w:pPr>
              <w:pStyle w:val="Compact"/>
              <w:jc w:val="right"/>
            </w:pPr>
            <w:r>
              <w:t xml:space="preserve">72</w:t>
            </w:r>
          </w:p>
        </w:tc>
        <w:tc>
          <w:tcPr/>
          <w:p>
            <w:pPr>
              <w:pStyle w:val="Compact"/>
              <w:jc w:val="right"/>
            </w:pPr>
            <w:r>
              <w:t xml:space="preserve">1.8</w:t>
            </w:r>
          </w:p>
        </w:tc>
      </w:tr>
      <w:tr>
        <w:tc>
          <w:tcPr/>
          <w:p>
            <w:pPr>
              <w:pStyle w:val="Compact"/>
            </w:pPr>
            <w:r>
              <w:t xml:space="preserve">LS</w:t>
            </w:r>
          </w:p>
        </w:tc>
        <w:tc>
          <w:tcPr/>
          <w:p>
            <w:pPr>
              <w:pStyle w:val="Compact"/>
              <w:jc w:val="right"/>
            </w:pPr>
            <w:r>
              <w:t xml:space="preserve">91</w:t>
            </w:r>
          </w:p>
        </w:tc>
        <w:tc>
          <w:tcPr/>
          <w:p>
            <w:pPr>
              <w:pStyle w:val="Compact"/>
              <w:jc w:val="right"/>
            </w:pPr>
            <w:r>
              <w:t xml:space="preserve">2.3</w:t>
            </w:r>
          </w:p>
        </w:tc>
      </w:tr>
      <w:tr>
        <w:tc>
          <w:tcPr/>
          <w:p>
            <w:pPr>
              <w:pStyle w:val="Compact"/>
            </w:pPr>
            <w:r>
              <w:t xml:space="preserve">OG</w:t>
            </w:r>
          </w:p>
        </w:tc>
        <w:tc>
          <w:tcPr/>
          <w:p>
            <w:pPr>
              <w:pStyle w:val="Compact"/>
              <w:jc w:val="right"/>
            </w:pPr>
            <w:r>
              <w:t xml:space="preserve">139</w:t>
            </w:r>
          </w:p>
        </w:tc>
        <w:tc>
          <w:tcPr/>
          <w:p>
            <w:pPr>
              <w:pStyle w:val="Compact"/>
              <w:jc w:val="right"/>
            </w:pPr>
            <w:r>
              <w:t xml:space="preserve">3.6</w:t>
            </w:r>
          </w:p>
        </w:tc>
      </w:tr>
    </w:tbl>
    <w:p>
      <w:pPr>
        <w:pStyle w:val="BodyText"/>
      </w:pPr>
      <w:r>
        <w:t xml:space="preserve">Old-growth-class plots store approximately 3.6 times the live carbon of Not-LSOG plots in Maine. Across Maine’s approximately 24 thousand acres of OG-class forest, the carbon density premium amounts to roughly 100 megagrams of carbon per hectare relative to letting that area revert to Not-LSOG conditions.</w:t>
      </w:r>
    </w:p>
    <w:bookmarkEnd w:id="41"/>
    <w:bookmarkStart w:id="42" w:name="X5db354dc9cafe2b22b23c6e4d0b77fbedce8bf1"/>
    <w:p>
      <w:pPr>
        <w:pStyle w:val="Heading3"/>
      </w:pPr>
      <w:r>
        <w:t xml:space="preserve">3.5 Cross-validation against Pelz USFS criteria</w:t>
      </w:r>
    </w:p>
    <w:p>
      <w:pPr>
        <w:pStyle w:val="FirstParagraph"/>
      </w:pPr>
      <w:r>
        <w:t xml:space="preserve">Table 6 reports the confusion matrix between v5.1 class and Pelz-OG flag on 925 four-state NFS plots, and the corresponding Cohen’s kappa values.</w:t>
      </w:r>
    </w:p>
    <w:p>
      <w:pPr>
        <w:pStyle w:val="BodyText"/>
      </w:pPr>
      <w:r>
        <w:rPr>
          <w:b/>
          <w:bCs/>
        </w:rPr>
        <w:t xml:space="preserve">Table 6.</w:t>
      </w:r>
      <w:r>
        <w:t xml:space="preserve"> </w:t>
      </w:r>
      <w:r>
        <w:t xml:space="preserve">v5.1 versus Pelz-OG cross-validation on 925 NFS plots.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v5.1 class</w:t>
            </w:r>
          </w:p>
        </w:tc>
        <w:tc>
          <w:tcPr/>
          <w:p>
            <w:pPr>
              <w:pStyle w:val="Compact"/>
              <w:jc w:val="right"/>
            </w:pPr>
            <w:r>
              <w:t xml:space="preserve">Not Pelz-OG</w:t>
            </w:r>
          </w:p>
        </w:tc>
        <w:tc>
          <w:tcPr/>
          <w:p>
            <w:pPr>
              <w:pStyle w:val="Compact"/>
              <w:jc w:val="right"/>
            </w:pPr>
            <w:r>
              <w:t xml:space="preserve">Pelz-OG</w:t>
            </w:r>
          </w:p>
        </w:tc>
        <w:tc>
          <w:tcPr/>
          <w:p>
            <w:pPr>
              <w:pStyle w:val="Compact"/>
              <w:jc w:val="right"/>
            </w:pPr>
            <w:r>
              <w:t xml:space="preserve">Total</w:t>
            </w:r>
          </w:p>
        </w:tc>
      </w:tr>
      <w:tr>
        <w:tc>
          <w:tcPr/>
          <w:p>
            <w:pPr>
              <w:pStyle w:val="Compact"/>
            </w:pPr>
            <w:r>
              <w:t xml:space="preserve">Not LSOG</w:t>
            </w:r>
          </w:p>
        </w:tc>
        <w:tc>
          <w:tcPr/>
          <w:p>
            <w:pPr>
              <w:pStyle w:val="Compact"/>
              <w:jc w:val="right"/>
            </w:pPr>
            <w:r>
              <w:t xml:space="preserve">467</w:t>
            </w:r>
          </w:p>
        </w:tc>
        <w:tc>
          <w:tcPr/>
          <w:p>
            <w:pPr>
              <w:pStyle w:val="Compact"/>
              <w:jc w:val="right"/>
            </w:pPr>
            <w:r>
              <w:t xml:space="preserve">36</w:t>
            </w:r>
          </w:p>
        </w:tc>
        <w:tc>
          <w:tcPr/>
          <w:p>
            <w:pPr>
              <w:pStyle w:val="Compact"/>
              <w:jc w:val="right"/>
            </w:pPr>
            <w:r>
              <w:t xml:space="preserve">503</w:t>
            </w:r>
          </w:p>
        </w:tc>
      </w:tr>
      <w:tr>
        <w:tc>
          <w:tcPr/>
          <w:p>
            <w:pPr>
              <w:pStyle w:val="Compact"/>
            </w:pPr>
            <w:r>
              <w:t xml:space="preserve">Trans LS</w:t>
            </w:r>
          </w:p>
        </w:tc>
        <w:tc>
          <w:tcPr/>
          <w:p>
            <w:pPr>
              <w:pStyle w:val="Compact"/>
              <w:jc w:val="right"/>
            </w:pPr>
            <w:r>
              <w:t xml:space="preserve">314</w:t>
            </w:r>
          </w:p>
        </w:tc>
        <w:tc>
          <w:tcPr/>
          <w:p>
            <w:pPr>
              <w:pStyle w:val="Compact"/>
              <w:jc w:val="right"/>
            </w:pPr>
            <w:r>
              <w:t xml:space="preserve">49</w:t>
            </w:r>
          </w:p>
        </w:tc>
        <w:tc>
          <w:tcPr/>
          <w:p>
            <w:pPr>
              <w:pStyle w:val="Compact"/>
              <w:jc w:val="right"/>
            </w:pPr>
            <w:r>
              <w:t xml:space="preserve">363</w:t>
            </w:r>
          </w:p>
        </w:tc>
      </w:tr>
      <w:tr>
        <w:tc>
          <w:tcPr/>
          <w:p>
            <w:pPr>
              <w:pStyle w:val="Compact"/>
            </w:pPr>
            <w:r>
              <w:t xml:space="preserve">LS</w:t>
            </w:r>
          </w:p>
        </w:tc>
        <w:tc>
          <w:tcPr/>
          <w:p>
            <w:pPr>
              <w:pStyle w:val="Compact"/>
              <w:jc w:val="right"/>
            </w:pPr>
            <w:r>
              <w:t xml:space="preserve">31</w:t>
            </w:r>
          </w:p>
        </w:tc>
        <w:tc>
          <w:tcPr/>
          <w:p>
            <w:pPr>
              <w:pStyle w:val="Compact"/>
              <w:jc w:val="right"/>
            </w:pPr>
            <w:r>
              <w:t xml:space="preserve">24</w:t>
            </w:r>
          </w:p>
        </w:tc>
        <w:tc>
          <w:tcPr/>
          <w:p>
            <w:pPr>
              <w:pStyle w:val="Compact"/>
              <w:jc w:val="right"/>
            </w:pPr>
            <w:r>
              <w:t xml:space="preserve">55</w:t>
            </w:r>
          </w:p>
        </w:tc>
      </w:tr>
      <w:tr>
        <w:tc>
          <w:tcPr/>
          <w:p>
            <w:pPr>
              <w:pStyle w:val="Compact"/>
            </w:pPr>
            <w:r>
              <w:t xml:space="preserve">OG</w:t>
            </w:r>
          </w:p>
        </w:tc>
        <w:tc>
          <w:tcPr/>
          <w:p>
            <w:pPr>
              <w:pStyle w:val="Compact"/>
              <w:jc w:val="right"/>
            </w:pPr>
            <w:r>
              <w:t xml:space="preserve">1</w:t>
            </w:r>
          </w:p>
        </w:tc>
        <w:tc>
          <w:tcPr/>
          <w:p>
            <w:pPr>
              <w:pStyle w:val="Compact"/>
              <w:jc w:val="right"/>
            </w:pPr>
            <w:r>
              <w:t xml:space="preserve">3</w:t>
            </w:r>
          </w:p>
        </w:tc>
        <w:tc>
          <w:tcPr/>
          <w:p>
            <w:pPr>
              <w:pStyle w:val="Compact"/>
              <w:jc w:val="right"/>
            </w:pPr>
            <w:r>
              <w:t xml:space="preserve">4</w:t>
            </w:r>
          </w:p>
        </w:tc>
      </w:tr>
      <w:tr>
        <w:tc>
          <w:tcPr/>
          <w:p>
            <w:pPr>
              <w:pStyle w:val="Compact"/>
            </w:pPr>
            <w:r>
              <w:rPr>
                <w:b/>
                <w:bCs/>
              </w:rPr>
              <w:t xml:space="preserve">Total</w:t>
            </w:r>
          </w:p>
        </w:tc>
        <w:tc>
          <w:tcPr/>
          <w:p>
            <w:pPr>
              <w:pStyle w:val="Compact"/>
              <w:jc w:val="right"/>
            </w:pPr>
            <w:r>
              <w:rPr>
                <w:b/>
                <w:bCs/>
              </w:rPr>
              <w:t xml:space="preserve">813</w:t>
            </w:r>
          </w:p>
        </w:tc>
        <w:tc>
          <w:tcPr/>
          <w:p>
            <w:pPr>
              <w:pStyle w:val="Compact"/>
              <w:jc w:val="right"/>
            </w:pPr>
            <w:r>
              <w:rPr>
                <w:b/>
                <w:bCs/>
              </w:rPr>
              <w:t xml:space="preserve">112</w:t>
            </w:r>
          </w:p>
        </w:tc>
        <w:tc>
          <w:tcPr/>
          <w:p>
            <w:pPr>
              <w:pStyle w:val="Compact"/>
              <w:jc w:val="right"/>
            </w:pPr>
            <w:r>
              <w:rPr>
                <w:b/>
                <w:bCs/>
              </w:rPr>
              <w:t xml:space="preserve">925</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Comparison</w:t>
            </w:r>
          </w:p>
        </w:tc>
        <w:tc>
          <w:tcPr/>
          <w:p>
            <w:pPr>
              <w:pStyle w:val="Compact"/>
              <w:jc w:val="right"/>
            </w:pPr>
            <w:r>
              <w:t xml:space="preserve">Cohen’s kappa</w:t>
            </w:r>
          </w:p>
        </w:tc>
        <w:tc>
          <w:tcPr/>
          <w:p>
            <w:pPr>
              <w:pStyle w:val="Compact"/>
            </w:pPr>
            <w:r>
              <w:t xml:space="preserve">Interpretation</w:t>
            </w:r>
          </w:p>
        </w:tc>
      </w:tr>
      <w:tr>
        <w:tc>
          <w:tcPr/>
          <w:p>
            <w:pPr>
              <w:pStyle w:val="Compact"/>
            </w:pPr>
            <w:r>
              <w:t xml:space="preserve">v5.1 OG vs Pelz-OG</w:t>
            </w:r>
          </w:p>
        </w:tc>
        <w:tc>
          <w:tcPr/>
          <w:p>
            <w:pPr>
              <w:pStyle w:val="Compact"/>
              <w:jc w:val="right"/>
            </w:pPr>
            <w:r>
              <w:t xml:space="preserve">0.044</w:t>
            </w:r>
          </w:p>
        </w:tc>
        <w:tc>
          <w:tcPr/>
          <w:p>
            <w:pPr>
              <w:pStyle w:val="Compact"/>
            </w:pPr>
            <w:r>
              <w:t xml:space="preserve">essentially random</w:t>
            </w:r>
          </w:p>
        </w:tc>
      </w:tr>
      <w:tr>
        <w:tc>
          <w:tcPr/>
          <w:p>
            <w:pPr>
              <w:pStyle w:val="Compact"/>
            </w:pPr>
            <w:r>
              <w:t xml:space="preserve">v5.1 LS+OG vs Pelz-OG</w:t>
            </w:r>
          </w:p>
        </w:tc>
        <w:tc>
          <w:tcPr/>
          <w:p>
            <w:pPr>
              <w:pStyle w:val="Compact"/>
              <w:jc w:val="right"/>
            </w:pPr>
            <w:r>
              <w:t xml:space="preserve">0.253</w:t>
            </w:r>
          </w:p>
        </w:tc>
        <w:tc>
          <w:tcPr/>
          <w:p>
            <w:pPr>
              <w:pStyle w:val="Compact"/>
            </w:pPr>
            <w:r>
              <w:t xml:space="preserve">fair agreement</w:t>
            </w:r>
          </w:p>
        </w:tc>
      </w:tr>
      <w:tr>
        <w:tc>
          <w:tcPr/>
          <w:p>
            <w:pPr>
              <w:pStyle w:val="Compact"/>
            </w:pPr>
            <w:r>
              <w:t xml:space="preserve">v5.1 any-LSOG vs Pelz-OG</w:t>
            </w:r>
          </w:p>
        </w:tc>
        <w:tc>
          <w:tcPr/>
          <w:p>
            <w:pPr>
              <w:pStyle w:val="Compact"/>
              <w:jc w:val="right"/>
            </w:pPr>
            <w:r>
              <w:t xml:space="preserve">0.115</w:t>
            </w:r>
          </w:p>
        </w:tc>
        <w:tc>
          <w:tcPr/>
          <w:p>
            <w:pPr>
              <w:pStyle w:val="Compact"/>
            </w:pPr>
            <w:r>
              <w:t xml:space="preserve">slight</w:t>
            </w:r>
          </w:p>
        </w:tc>
      </w:tr>
    </w:tbl>
    <w:p>
      <w:pPr>
        <w:pStyle w:val="BodyText"/>
      </w:pPr>
      <w:r>
        <w:t xml:space="preserve">The OG-only kappa is essentially random because of the small absolute number of v5.1 OG plots (n = 4) on NFS lands. The LS+OG combined comparison achieves fair agreement (kappa = 0.253), supporting LS+OG as the most stable class for policy reporting. The Pelz-OG share of NFS plots in this region is 12.1 percent, compared to v5.1 LS+OG at 6.4 percent of the same plot population, indicating that v5.1 is somewhat conservative relative to the Pelz criteria on NFS lands.</w:t>
      </w:r>
    </w:p>
    <w:bookmarkEnd w:id="42"/>
    <w:bookmarkStart w:id="43" w:name="wall-to-wall-lsog-mapping"/>
    <w:p>
      <w:pPr>
        <w:pStyle w:val="Heading3"/>
      </w:pPr>
      <w:r>
        <w:t xml:space="preserve">3.6 Wall-to-wall LSOG mapping</w:t>
      </w:r>
    </w:p>
    <w:p>
      <w:pPr>
        <w:pStyle w:val="FirstParagraph"/>
      </w:pPr>
      <w:r>
        <w:t xml:space="preserve">Table 7 reports any-LSOG share and acreage from TreeMap imputation, with two classifier variants: v3 (v4-based, no canopy height) and v3-Potapov (hybrid v5.1 / v4-based, with canopy height where available).</w:t>
      </w:r>
    </w:p>
    <w:p>
      <w:pPr>
        <w:pStyle w:val="BodyText"/>
      </w:pPr>
      <w:r>
        <w:rPr>
          <w:b/>
          <w:bCs/>
        </w:rPr>
        <w:t xml:space="preserve">Table 7.</w:t>
      </w:r>
      <w:r>
        <w:t xml:space="preserve"> </w:t>
      </w:r>
      <w:r>
        <w:t xml:space="preserve">Wall-to-wall any-LSOG estimates from TreeMap 2020 and 2022.</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State</w:t>
            </w:r>
          </w:p>
        </w:tc>
        <w:tc>
          <w:tcPr/>
          <w:p>
            <w:pPr>
              <w:pStyle w:val="Compact"/>
              <w:jc w:val="right"/>
            </w:pPr>
            <w:r>
              <w:t xml:space="preserve">Year</w:t>
            </w:r>
          </w:p>
        </w:tc>
        <w:tc>
          <w:tcPr/>
          <w:p>
            <w:pPr>
              <w:pStyle w:val="Compact"/>
              <w:jc w:val="right"/>
            </w:pPr>
            <w:r>
              <w:t xml:space="preserve">v3 share</w:t>
            </w:r>
          </w:p>
        </w:tc>
        <w:tc>
          <w:tcPr/>
          <w:p>
            <w:pPr>
              <w:pStyle w:val="Compact"/>
              <w:jc w:val="right"/>
            </w:pPr>
            <w:r>
              <w:t xml:space="preserve">v3 acres</w:t>
            </w:r>
          </w:p>
        </w:tc>
        <w:tc>
          <w:tcPr/>
          <w:p>
            <w:pPr>
              <w:pStyle w:val="Compact"/>
              <w:jc w:val="right"/>
            </w:pPr>
            <w:r>
              <w:t xml:space="preserve">v3-Potapov share</w:t>
            </w:r>
          </w:p>
        </w:tc>
        <w:tc>
          <w:tcPr/>
          <w:p>
            <w:pPr>
              <w:pStyle w:val="Compact"/>
              <w:jc w:val="right"/>
            </w:pPr>
            <w:r>
              <w:t xml:space="preserve">v3-Potapov acres</w:t>
            </w:r>
          </w:p>
        </w:tc>
        <w:tc>
          <w:tcPr/>
          <w:p>
            <w:pPr>
              <w:pStyle w:val="Compact"/>
              <w:jc w:val="right"/>
            </w:pPr>
            <w:r>
              <w:t xml:space="preserve">Lift (pp)</w:t>
            </w:r>
          </w:p>
        </w:tc>
      </w:tr>
      <w:tr>
        <w:tc>
          <w:tcPr/>
          <w:p>
            <w:pPr>
              <w:pStyle w:val="Compact"/>
            </w:pPr>
            <w:r>
              <w:t xml:space="preserve">Maine</w:t>
            </w:r>
          </w:p>
        </w:tc>
        <w:tc>
          <w:tcPr/>
          <w:p>
            <w:pPr>
              <w:pStyle w:val="Compact"/>
              <w:jc w:val="right"/>
            </w:pPr>
            <w:r>
              <w:t xml:space="preserve">2020</w:t>
            </w:r>
          </w:p>
        </w:tc>
        <w:tc>
          <w:tcPr/>
          <w:p>
            <w:pPr>
              <w:pStyle w:val="Compact"/>
              <w:jc w:val="right"/>
            </w:pPr>
            <w:r>
              <w:t xml:space="preserve">8.09%</w:t>
            </w:r>
          </w:p>
        </w:tc>
        <w:tc>
          <w:tcPr/>
          <w:p>
            <w:pPr>
              <w:pStyle w:val="Compact"/>
              <w:jc w:val="right"/>
            </w:pPr>
            <w:r>
              <w:t xml:space="preserve">1,333,955</w:t>
            </w:r>
          </w:p>
        </w:tc>
        <w:tc>
          <w:tcPr/>
          <w:p>
            <w:pPr>
              <w:pStyle w:val="Compact"/>
              <w:jc w:val="right"/>
            </w:pPr>
            <w:r>
              <w:t xml:space="preserve">9.17%</w:t>
            </w:r>
          </w:p>
        </w:tc>
        <w:tc>
          <w:tcPr/>
          <w:p>
            <w:pPr>
              <w:pStyle w:val="Compact"/>
              <w:jc w:val="right"/>
            </w:pPr>
            <w:r>
              <w:t xml:space="preserve">1,511,924</w:t>
            </w:r>
          </w:p>
        </w:tc>
        <w:tc>
          <w:tcPr/>
          <w:p>
            <w:pPr>
              <w:pStyle w:val="Compact"/>
              <w:jc w:val="right"/>
            </w:pPr>
            <w:r>
              <w:t xml:space="preserve">+1.08</w:t>
            </w:r>
          </w:p>
        </w:tc>
      </w:tr>
      <w:tr>
        <w:tc>
          <w:tcPr/>
          <w:p>
            <w:pPr>
              <w:pStyle w:val="Compact"/>
            </w:pPr>
            <w:r>
              <w:t xml:space="preserve">Maine</w:t>
            </w:r>
          </w:p>
        </w:tc>
        <w:tc>
          <w:tcPr/>
          <w:p>
            <w:pPr>
              <w:pStyle w:val="Compact"/>
              <w:jc w:val="right"/>
            </w:pPr>
            <w:r>
              <w:t xml:space="preserve">2022</w:t>
            </w:r>
          </w:p>
        </w:tc>
        <w:tc>
          <w:tcPr/>
          <w:p>
            <w:pPr>
              <w:pStyle w:val="Compact"/>
              <w:jc w:val="right"/>
            </w:pPr>
            <w:r>
              <w:t xml:space="preserve">7.99%</w:t>
            </w:r>
          </w:p>
        </w:tc>
        <w:tc>
          <w:tcPr/>
          <w:p>
            <w:pPr>
              <w:pStyle w:val="Compact"/>
              <w:jc w:val="right"/>
            </w:pPr>
            <w:r>
              <w:t xml:space="preserve">1,313,970</w:t>
            </w:r>
          </w:p>
        </w:tc>
        <w:tc>
          <w:tcPr/>
          <w:p>
            <w:pPr>
              <w:pStyle w:val="Compact"/>
              <w:jc w:val="right"/>
            </w:pPr>
            <w:r>
              <w:t xml:space="preserve">9.03%</w:t>
            </w:r>
          </w:p>
        </w:tc>
        <w:tc>
          <w:tcPr/>
          <w:p>
            <w:pPr>
              <w:pStyle w:val="Compact"/>
              <w:jc w:val="right"/>
            </w:pPr>
            <w:r>
              <w:t xml:space="preserve">1,486,809</w:t>
            </w:r>
          </w:p>
        </w:tc>
        <w:tc>
          <w:tcPr/>
          <w:p>
            <w:pPr>
              <w:pStyle w:val="Compact"/>
              <w:jc w:val="right"/>
            </w:pPr>
            <w:r>
              <w:t xml:space="preserve">+1.04</w:t>
            </w:r>
          </w:p>
        </w:tc>
      </w:tr>
      <w:tr>
        <w:tc>
          <w:tcPr/>
          <w:p>
            <w:pPr>
              <w:pStyle w:val="Compact"/>
            </w:pPr>
            <w:r>
              <w:t xml:space="preserve">New Hampshire</w:t>
            </w:r>
          </w:p>
        </w:tc>
        <w:tc>
          <w:tcPr/>
          <w:p>
            <w:pPr>
              <w:pStyle w:val="Compact"/>
              <w:jc w:val="right"/>
            </w:pPr>
            <w:r>
              <w:t xml:space="preserve">2020</w:t>
            </w:r>
          </w:p>
        </w:tc>
        <w:tc>
          <w:tcPr/>
          <w:p>
            <w:pPr>
              <w:pStyle w:val="Compact"/>
              <w:jc w:val="right"/>
            </w:pPr>
            <w:r>
              <w:t xml:space="preserve">15.75%</w:t>
            </w:r>
          </w:p>
        </w:tc>
        <w:tc>
          <w:tcPr/>
          <w:p>
            <w:pPr>
              <w:pStyle w:val="Compact"/>
              <w:jc w:val="right"/>
            </w:pPr>
            <w:r>
              <w:t xml:space="preserve">735,489</w:t>
            </w:r>
          </w:p>
        </w:tc>
        <w:tc>
          <w:tcPr/>
          <w:p>
            <w:pPr>
              <w:pStyle w:val="Compact"/>
              <w:jc w:val="right"/>
            </w:pPr>
            <w:r>
              <w:t xml:space="preserve">17.49%</w:t>
            </w:r>
          </w:p>
        </w:tc>
        <w:tc>
          <w:tcPr/>
          <w:p>
            <w:pPr>
              <w:pStyle w:val="Compact"/>
              <w:jc w:val="right"/>
            </w:pPr>
            <w:r>
              <w:t xml:space="preserve">816,721</w:t>
            </w:r>
          </w:p>
        </w:tc>
        <w:tc>
          <w:tcPr/>
          <w:p>
            <w:pPr>
              <w:pStyle w:val="Compact"/>
              <w:jc w:val="right"/>
            </w:pPr>
            <w:r>
              <w:t xml:space="preserve">+1.74</w:t>
            </w:r>
          </w:p>
        </w:tc>
      </w:tr>
      <w:tr>
        <w:tc>
          <w:tcPr/>
          <w:p>
            <w:pPr>
              <w:pStyle w:val="Compact"/>
            </w:pPr>
            <w:r>
              <w:t xml:space="preserve">New Hampshire</w:t>
            </w:r>
          </w:p>
        </w:tc>
        <w:tc>
          <w:tcPr/>
          <w:p>
            <w:pPr>
              <w:pStyle w:val="Compact"/>
              <w:jc w:val="right"/>
            </w:pPr>
            <w:r>
              <w:t xml:space="preserve">2022</w:t>
            </w:r>
          </w:p>
        </w:tc>
        <w:tc>
          <w:tcPr/>
          <w:p>
            <w:pPr>
              <w:pStyle w:val="Compact"/>
              <w:jc w:val="right"/>
            </w:pPr>
            <w:r>
              <w:t xml:space="preserve">15.65%</w:t>
            </w:r>
          </w:p>
        </w:tc>
        <w:tc>
          <w:tcPr/>
          <w:p>
            <w:pPr>
              <w:pStyle w:val="Compact"/>
              <w:jc w:val="right"/>
            </w:pPr>
            <w:r>
              <w:t xml:space="preserve">730,610</w:t>
            </w:r>
          </w:p>
        </w:tc>
        <w:tc>
          <w:tcPr/>
          <w:p>
            <w:pPr>
              <w:pStyle w:val="Compact"/>
              <w:jc w:val="right"/>
            </w:pPr>
            <w:r>
              <w:t xml:space="preserve">17.37%</w:t>
            </w:r>
          </w:p>
        </w:tc>
        <w:tc>
          <w:tcPr/>
          <w:p>
            <w:pPr>
              <w:pStyle w:val="Compact"/>
              <w:jc w:val="right"/>
            </w:pPr>
            <w:r>
              <w:t xml:space="preserve">810,522</w:t>
            </w:r>
          </w:p>
        </w:tc>
        <w:tc>
          <w:tcPr/>
          <w:p>
            <w:pPr>
              <w:pStyle w:val="Compact"/>
              <w:jc w:val="right"/>
            </w:pPr>
            <w:r>
              <w:t xml:space="preserve">+1.72</w:t>
            </w:r>
          </w:p>
        </w:tc>
      </w:tr>
      <w:tr>
        <w:tc>
          <w:tcPr/>
          <w:p>
            <w:pPr>
              <w:pStyle w:val="Compact"/>
            </w:pPr>
            <w:r>
              <w:t xml:space="preserve">New York</w:t>
            </w:r>
          </w:p>
        </w:tc>
        <w:tc>
          <w:tcPr/>
          <w:p>
            <w:pPr>
              <w:pStyle w:val="Compact"/>
              <w:jc w:val="right"/>
            </w:pPr>
            <w:r>
              <w:t xml:space="preserve">2020</w:t>
            </w:r>
          </w:p>
        </w:tc>
        <w:tc>
          <w:tcPr/>
          <w:p>
            <w:pPr>
              <w:pStyle w:val="Compact"/>
              <w:jc w:val="right"/>
            </w:pPr>
            <w:r>
              <w:t xml:space="preserve">13.62%</w:t>
            </w:r>
          </w:p>
        </w:tc>
        <w:tc>
          <w:tcPr/>
          <w:p>
            <w:pPr>
              <w:pStyle w:val="Compact"/>
              <w:jc w:val="right"/>
            </w:pPr>
            <w:r>
              <w:t xml:space="preserve">2,562,932</w:t>
            </w:r>
          </w:p>
        </w:tc>
        <w:tc>
          <w:tcPr/>
          <w:p>
            <w:pPr>
              <w:pStyle w:val="Compact"/>
              <w:jc w:val="right"/>
            </w:pPr>
            <w:r>
              <w:t xml:space="preserve">15.07%</w:t>
            </w:r>
          </w:p>
        </w:tc>
        <w:tc>
          <w:tcPr/>
          <w:p>
            <w:pPr>
              <w:pStyle w:val="Compact"/>
              <w:jc w:val="right"/>
            </w:pPr>
            <w:r>
              <w:t xml:space="preserve">2,835,126</w:t>
            </w:r>
          </w:p>
        </w:tc>
        <w:tc>
          <w:tcPr/>
          <w:p>
            <w:pPr>
              <w:pStyle w:val="Compact"/>
              <w:jc w:val="right"/>
            </w:pPr>
            <w:r>
              <w:t xml:space="preserve">+1.45</w:t>
            </w:r>
          </w:p>
        </w:tc>
      </w:tr>
      <w:tr>
        <w:tc>
          <w:tcPr/>
          <w:p>
            <w:pPr>
              <w:pStyle w:val="Compact"/>
            </w:pPr>
            <w:r>
              <w:t xml:space="preserve">New York</w:t>
            </w:r>
          </w:p>
        </w:tc>
        <w:tc>
          <w:tcPr/>
          <w:p>
            <w:pPr>
              <w:pStyle w:val="Compact"/>
              <w:jc w:val="right"/>
            </w:pPr>
            <w:r>
              <w:t xml:space="preserve">2022</w:t>
            </w:r>
          </w:p>
        </w:tc>
        <w:tc>
          <w:tcPr/>
          <w:p>
            <w:pPr>
              <w:pStyle w:val="Compact"/>
              <w:jc w:val="right"/>
            </w:pPr>
            <w:r>
              <w:t xml:space="preserve">13.55%</w:t>
            </w:r>
          </w:p>
        </w:tc>
        <w:tc>
          <w:tcPr/>
          <w:p>
            <w:pPr>
              <w:pStyle w:val="Compact"/>
              <w:jc w:val="right"/>
            </w:pPr>
            <w:r>
              <w:t xml:space="preserve">2,552,411</w:t>
            </w:r>
          </w:p>
        </w:tc>
        <w:tc>
          <w:tcPr/>
          <w:p>
            <w:pPr>
              <w:pStyle w:val="Compact"/>
              <w:jc w:val="right"/>
            </w:pPr>
            <w:r>
              <w:t xml:space="preserve">14.99%</w:t>
            </w:r>
          </w:p>
        </w:tc>
        <w:tc>
          <w:tcPr/>
          <w:p>
            <w:pPr>
              <w:pStyle w:val="Compact"/>
              <w:jc w:val="right"/>
            </w:pPr>
            <w:r>
              <w:t xml:space="preserve">2,824,131</w:t>
            </w:r>
          </w:p>
        </w:tc>
        <w:tc>
          <w:tcPr/>
          <w:p>
            <w:pPr>
              <w:pStyle w:val="Compact"/>
              <w:jc w:val="right"/>
            </w:pPr>
            <w:r>
              <w:t xml:space="preserve">+1.44</w:t>
            </w:r>
          </w:p>
        </w:tc>
      </w:tr>
      <w:tr>
        <w:tc>
          <w:tcPr/>
          <w:p>
            <w:pPr>
              <w:pStyle w:val="Compact"/>
            </w:pPr>
            <w:r>
              <w:t xml:space="preserve">Vermont</w:t>
            </w:r>
          </w:p>
        </w:tc>
        <w:tc>
          <w:tcPr/>
          <w:p>
            <w:pPr>
              <w:pStyle w:val="Compact"/>
              <w:jc w:val="right"/>
            </w:pPr>
            <w:r>
              <w:t xml:space="preserve">2020</w:t>
            </w:r>
          </w:p>
        </w:tc>
        <w:tc>
          <w:tcPr/>
          <w:p>
            <w:pPr>
              <w:pStyle w:val="Compact"/>
              <w:jc w:val="right"/>
            </w:pPr>
            <w:r>
              <w:t xml:space="preserve">16.15%</w:t>
            </w:r>
          </w:p>
        </w:tc>
        <w:tc>
          <w:tcPr/>
          <w:p>
            <w:pPr>
              <w:pStyle w:val="Compact"/>
              <w:jc w:val="right"/>
            </w:pPr>
            <w:r>
              <w:t xml:space="preserve">728,756</w:t>
            </w:r>
          </w:p>
        </w:tc>
        <w:tc>
          <w:tcPr/>
          <w:p>
            <w:pPr>
              <w:pStyle w:val="Compact"/>
              <w:jc w:val="right"/>
            </w:pPr>
            <w:r>
              <w:t xml:space="preserve">18.87%</w:t>
            </w:r>
          </w:p>
        </w:tc>
        <w:tc>
          <w:tcPr/>
          <w:p>
            <w:pPr>
              <w:pStyle w:val="Compact"/>
              <w:jc w:val="right"/>
            </w:pPr>
            <w:r>
              <w:t xml:space="preserve">852,494</w:t>
            </w:r>
          </w:p>
        </w:tc>
        <w:tc>
          <w:tcPr/>
          <w:p>
            <w:pPr>
              <w:pStyle w:val="Compact"/>
              <w:jc w:val="right"/>
            </w:pPr>
            <w:r>
              <w:t xml:space="preserve">+2.72</w:t>
            </w:r>
          </w:p>
        </w:tc>
      </w:tr>
      <w:tr>
        <w:tc>
          <w:tcPr/>
          <w:p>
            <w:pPr>
              <w:pStyle w:val="Compact"/>
            </w:pPr>
            <w:r>
              <w:t xml:space="preserve">Vermont</w:t>
            </w:r>
          </w:p>
        </w:tc>
        <w:tc>
          <w:tcPr/>
          <w:p>
            <w:pPr>
              <w:pStyle w:val="Compact"/>
              <w:jc w:val="right"/>
            </w:pPr>
            <w:r>
              <w:t xml:space="preserve">2022</w:t>
            </w:r>
          </w:p>
        </w:tc>
        <w:tc>
          <w:tcPr/>
          <w:p>
            <w:pPr>
              <w:pStyle w:val="Compact"/>
              <w:jc w:val="right"/>
            </w:pPr>
            <w:r>
              <w:t xml:space="preserve">16.03%</w:t>
            </w:r>
          </w:p>
        </w:tc>
        <w:tc>
          <w:tcPr/>
          <w:p>
            <w:pPr>
              <w:pStyle w:val="Compact"/>
              <w:jc w:val="right"/>
            </w:pPr>
            <w:r>
              <w:t xml:space="preserve">724,263</w:t>
            </w:r>
          </w:p>
        </w:tc>
        <w:tc>
          <w:tcPr/>
          <w:p>
            <w:pPr>
              <w:pStyle w:val="Compact"/>
              <w:jc w:val="right"/>
            </w:pPr>
            <w:r>
              <w:t xml:space="preserve">18.74%</w:t>
            </w:r>
          </w:p>
        </w:tc>
        <w:tc>
          <w:tcPr/>
          <w:p>
            <w:pPr>
              <w:pStyle w:val="Compact"/>
              <w:jc w:val="right"/>
            </w:pPr>
            <w:r>
              <w:t xml:space="preserve">846,907</w:t>
            </w:r>
          </w:p>
        </w:tc>
        <w:tc>
          <w:tcPr/>
          <w:p>
            <w:pPr>
              <w:pStyle w:val="Compact"/>
              <w:jc w:val="right"/>
            </w:pPr>
            <w:r>
              <w:t xml:space="preserve">+2.71</w:t>
            </w:r>
          </w:p>
        </w:tc>
      </w:tr>
    </w:tbl>
    <w:p>
      <w:pPr>
        <w:pStyle w:val="BodyText"/>
      </w:pPr>
      <w:r>
        <w:t xml:space="preserve">The pixel-area-weighted wall-to-wall estimates are systematically lower than the design-based plot-weighted estimates from Section 3.1 because TreeMap imputes from a wider plot pool that includes pre-2019 panels (where the canopy-height dimension is unavailable) and because the FIA design weights account for sampling intensity differences not represented at the pixel level. The v3-Potapov hybrid recovers approximately 1 to 3 percentage points relative to v3, with Vermont showing the largest lift and Maine the smallest, consistent with Maine’s relatively shorter canopy heights.</w:t>
      </w:r>
    </w:p>
    <w:p>
      <w:pPr>
        <w:pStyle w:val="BodyText"/>
      </w:pPr>
      <w:r>
        <w:t xml:space="preserve">The same regional ranking (Maine lowest, Vermont and New Hampshire highest, New York intermediate) appears in both wall-to-wall variants, providing pixel-level confirmation of the plot-based finding.</w:t>
      </w:r>
    </w:p>
    <w:p>
      <w:r>
        <w:pict>
          <v:rect style="width:0;height:1.5pt" o:hralign="center" o:hrstd="t" o:hr="t"/>
        </w:pict>
      </w:r>
    </w:p>
    <w:bookmarkEnd w:id="43"/>
    <w:bookmarkEnd w:id="44"/>
    <w:bookmarkStart w:id="53" w:name="discussion"/>
    <w:p>
      <w:pPr>
        <w:pStyle w:val="Heading2"/>
      </w:pPr>
      <w:r>
        <w:t xml:space="preserve">4. Discussion</w:t>
      </w:r>
    </w:p>
    <w:bookmarkStart w:id="45" w:name="X2b145379ad80c3010787baa71b89040741183b6"/>
    <w:p>
      <w:pPr>
        <w:pStyle w:val="Heading3"/>
      </w:pPr>
      <w:r>
        <w:t xml:space="preserve">4.1 Maine’s structural divergence reflects its working-forest history</w:t>
      </w:r>
    </w:p>
    <w:p>
      <w:pPr>
        <w:pStyle w:val="FirstParagraph"/>
      </w:pPr>
      <w:r>
        <w:t xml:space="preserve">Maine’s continuous industrial-forestry sector dating to the 1800s sets it apart from the other three states. Annual harvest volumes of approximately 12 million cords are sustained over rotation lengths of 35 to 80 years for the dominant softwood and mixedwood types. Those rotations are long enough to grow merchantable trees, short enough to limit accumulation of the structural attributes (large trees, dead wood, canopy complexity) that v5.1 weights into its score. By contrast, New Hampshire and Vermont experienced 19th-century agricultural abandonment that has now generated old-field forests reaching ages of 100 to 150 years; New York’s Adirondack landscape preserved larger contiguous unmanaged forests through the same period. The pattern in Tables 2 and 3 is consistent with these documented histories. Maine is not catching up; if anything, the gap is widening at approximately 7 to 10 percentage points per decade based on Table 3’s slope differences.</w:t>
      </w:r>
    </w:p>
    <w:bookmarkEnd w:id="45"/>
    <w:bookmarkStart w:id="46" w:name="X1a2af76d25dd56477f38824b535d8983514b903"/>
    <w:p>
      <w:pPr>
        <w:pStyle w:val="Heading3"/>
      </w:pPr>
      <w:r>
        <w:t xml:space="preserve">4.2 The lower OG-class shares are partly definitional</w:t>
      </w:r>
    </w:p>
    <w:p>
      <w:pPr>
        <w:pStyle w:val="FirstParagraph"/>
      </w:pPr>
      <w:r>
        <w:t xml:space="preserve">All four states show OG-class shares under 2 percent. Some of this rarity is real: true old-growth forest is rare in the Northeast, and the v5.1 protocol intentionally requires a high score (at least 8 of 12) for OG classification. Some is also definitional: the OG threshold sits very close to the maximum achievable score for plots dominated by mixed northern hardwoods, which rarely exceed 25 meter canopy heights even in the most mature stands. New York’s higher OG share (1.5 percent) reflects the Adirondack landscape, where older red spruce, eastern hemlock, and northern hardwoods produce taller canopies and more structural complexity. The validation work in Section 3.5 (Cohen’s kappa essentially zero on OG alone, but fair on LS+OG) supports treating LS+OG combined as the more stable category for policy reporting.</w:t>
      </w:r>
    </w:p>
    <w:bookmarkEnd w:id="46"/>
    <w:bookmarkStart w:id="47" w:name="X650ed299d9071716209a2b1cea049606d949e56"/>
    <w:p>
      <w:pPr>
        <w:pStyle w:val="Heading3"/>
      </w:pPr>
      <w:r>
        <w:t xml:space="preserve">4.3 Wall-to-wall mapping confirms but does not amplify the plot finding</w:t>
      </w:r>
    </w:p>
    <w:p>
      <w:pPr>
        <w:pStyle w:val="FirstParagraph"/>
      </w:pPr>
      <w:r>
        <w:t xml:space="preserve">The TreeMap-imputed wall-to-wall estimates in Section 3.6 reproduce the regional ranking (Maine lowest, Vermont and New Hampshire highest, New York intermediate) at the pixel level. The wall-to-wall absolute share is systematically lower than the design-based plot estimate (e.g., Maine 9.2 percent wall-to-wall versus 14.1 percent plot-based) for two reasons documented in Section 3.6. The pattern is robust across both estimation approaches.</w:t>
      </w:r>
    </w:p>
    <w:bookmarkEnd w:id="47"/>
    <w:bookmarkStart w:id="48" w:name="X432a49cc28527c2143218b44f7e414325baf226"/>
    <w:p>
      <w:pPr>
        <w:pStyle w:val="Heading3"/>
      </w:pPr>
      <w:r>
        <w:t xml:space="preserve">4.4 The validation triangle and what it tells us</w:t>
      </w:r>
    </w:p>
    <w:p>
      <w:pPr>
        <w:pStyle w:val="FirstParagraph"/>
      </w:pPr>
      <w:r>
        <w:t xml:space="preserve">We compared v5.1 against three independent products: the Hagan et al. (2024) LiDAR-derived Maine old-growth raster (still pending acquisition for plot-level cross-validation), the Bruening et al. (2026) ORNL DAAC 2498 Bayesian probability surfaces, and the Pelz et al. (2023) USFS Eastern Region old-growth criteria. The OG-share estimates differ by a factor of 25 across products: v5.1 ME OG at 0.4 percent, Hagan UT OG at 1.0 percent, and Pelz-OG at NFS plots at 10.1 percent. Each product applies a defensible methodology to a defensible plot or pixel population; the answers differ because the criteria differ.</w:t>
      </w:r>
    </w:p>
    <w:p>
      <w:pPr>
        <w:pStyle w:val="BodyText"/>
      </w:pPr>
      <w:r>
        <w:t xml:space="preserve">For policy reporting, the LS+OG combined class is the most stable category across products. The OG-only class is meaningfully product-specific.</w:t>
      </w:r>
    </w:p>
    <w:bookmarkEnd w:id="48"/>
    <w:bookmarkStart w:id="49" w:name="methodological-recommendations"/>
    <w:p>
      <w:pPr>
        <w:pStyle w:val="Heading3"/>
      </w:pPr>
      <w:r>
        <w:t xml:space="preserve">4.5 Methodological recommendations</w:t>
      </w:r>
    </w:p>
    <w:p>
      <w:pPr>
        <w:pStyle w:val="FirstParagraph"/>
      </w:pPr>
      <w:r>
        <w:t xml:space="preserve">The Potapov RH95 threshold sensitivity analysis in Section 2.3 indicates that the default 18 and 25 meter thresholds are conservative. Lower thresholds (10 and 20 meters) and a continuous-RH95 logistic regression specification both achieved higher AUC against the ORNL mature classification. We retained the default thresholds for consistency with the published RAP literature in the v5.1 deployment, but downstream users should consider the alternative specifications for fine-tuned applications.</w:t>
      </w:r>
    </w:p>
    <w:p>
      <w:pPr>
        <w:pStyle w:val="BodyText"/>
      </w:pPr>
      <w:r>
        <w:t xml:space="preserve">The LS+OG combined class should be the headline category in policy-facing reporting. The OG-only class is more sensitive to methodological choices and should be reported with explicit uncertainty bounds.</w:t>
      </w:r>
    </w:p>
    <w:bookmarkEnd w:id="49"/>
    <w:bookmarkStart w:id="50" w:name="limitations"/>
    <w:p>
      <w:pPr>
        <w:pStyle w:val="Heading3"/>
      </w:pPr>
      <w:r>
        <w:t xml:space="preserve">4.6 Limitations</w:t>
      </w:r>
    </w:p>
    <w:p>
      <w:pPr>
        <w:pStyle w:val="FirstParagraph"/>
      </w:pPr>
      <w:r>
        <w:t xml:space="preserve">First, the v5.1 OG-class precision is low. Cohen’s kappa is essentially random against Pelz-OG and against ORNL OG-probability bands. We do not over-interpret state-level OG-class percentages.</w:t>
      </w:r>
    </w:p>
    <w:p>
      <w:pPr>
        <w:pStyle w:val="BodyText"/>
      </w:pPr>
      <w:r>
        <w:t xml:space="preserve">Second, FIA plot fuzzing introduces approximately 30 meter uncertainty at the Potapov RH95 extraction step. The contribution to plot-level scoring noise is small but systematic. Access to true coordinates under a Data Use Agreement would tighten this dimension.</w:t>
      </w:r>
    </w:p>
    <w:p>
      <w:pPr>
        <w:pStyle w:val="BodyText"/>
      </w:pPr>
      <w:r>
        <w:t xml:space="preserve">Third, the Hagan et al. (2024) LiDAR raster, the canonical Maine UT old-growth reference, was not available for plot-level cross-validation in this study. The Phase 6 cross-validation pipeline is fully scaffolded and ready to run when the raster becomes accessible through the appropriate channel.</w:t>
      </w:r>
    </w:p>
    <w:p>
      <w:pPr>
        <w:pStyle w:val="BodyText"/>
      </w:pPr>
      <w:r>
        <w:t xml:space="preserve">Fourth, the ORNL DAAC 2498 product trains its mature/OG probability layers on FIA labels, which makes our cross-validation a coherence check rather than blind validation.</w:t>
      </w:r>
    </w:p>
    <w:p>
      <w:pPr>
        <w:pStyle w:val="BodyText"/>
      </w:pPr>
      <w:r>
        <w:t xml:space="preserve">Fifth, the wall-to-wall mapping uses TreeMap imputation. TreeMap is not a direct LSOG product but a representative-plot imputation. Some of the</w:t>
      </w:r>
      <w:r>
        <w:t xml:space="preserve"> </w:t>
      </w:r>
      <w:r>
        <w:t xml:space="preserve">“Unknown”</w:t>
      </w:r>
      <w:r>
        <w:t xml:space="preserve"> </w:t>
      </w:r>
      <w:r>
        <w:t xml:space="preserve">pixels (Maine 0.3 percent, New York 24 percent) reflect TreeMap PLT_CN values that map to plots outside our 1999 to 2023 four-state inventory; these pixels could be rescued with broader CONUS plot lookups.</w:t>
      </w:r>
    </w:p>
    <w:bookmarkEnd w:id="50"/>
    <w:bookmarkStart w:id="51" w:name="implications-for-forest-policy"/>
    <w:p>
      <w:pPr>
        <w:pStyle w:val="Heading3"/>
      </w:pPr>
      <w:r>
        <w:t xml:space="preserve">4.7 Implications for forest policy</w:t>
      </w:r>
    </w:p>
    <w:p>
      <w:pPr>
        <w:pStyle w:val="FirstParagraph"/>
      </w:pPr>
      <w:r>
        <w:t xml:space="preserve">For Maine, the LD 1529 working group should know that the state has the lowest LSOG share in the Northeast, that the share is essentially flat over 20 years (versus increases of 9 to 11 percentage points per decade in neighboring states), and that the carbon density premium of OG-class forest is roughly 100 megagrams per hectare relative to Not-LSOG. Policy options include continuing current management, intentionally extending rotations on a fraction of the land base, expanding the ecological reserve network, and pursuing payment-for-ecosystem-services arrangements on private timberland. Each option has different implications for the working-forest economy, and each can be quantified using the master plot table as the analytical foundation.</w:t>
      </w:r>
    </w:p>
    <w:p>
      <w:pPr>
        <w:pStyle w:val="BodyText"/>
      </w:pPr>
      <w:r>
        <w:t xml:space="preserve">For New Hampshire and Vermont, the question is whether the passive aging trajectory should be encouraged (more LSOG over time) or moderated (active management to enhance other values). The 9 to 11 percentage-point-per-decade gain is unlikely to continue indefinitely, and active management decisions made now will shape the trajectory.</w:t>
      </w:r>
    </w:p>
    <w:p>
      <w:pPr>
        <w:pStyle w:val="BodyText"/>
      </w:pPr>
      <w:r>
        <w:t xml:space="preserve">For New York, the Adirondacks are the regional treasure for old-growth forest. State and local lands hold 583,000 acres of LS+OG combined, the largest such pool in the four-state region. Continued protection and possibly expansion of the reserve network is the natural policy direction.</w:t>
      </w:r>
    </w:p>
    <w:p>
      <w:pPr>
        <w:pStyle w:val="BodyText"/>
      </w:pPr>
      <w:r>
        <w:t xml:space="preserve">For the broader region, the private timberland LS+OG pool of approximately 987,000 acres across all four states is the most acreage-relevant target for policy intervention. Payment-for-ecosystem-services programs, working-lands easements, and tax-incentive structures all bear on this pool.</w:t>
      </w:r>
    </w:p>
    <w:bookmarkEnd w:id="51"/>
    <w:bookmarkStart w:id="52" w:name="future-work"/>
    <w:p>
      <w:pPr>
        <w:pStyle w:val="Heading3"/>
      </w:pPr>
      <w:r>
        <w:t xml:space="preserve">4.8 Future work</w:t>
      </w:r>
    </w:p>
    <w:p>
      <w:pPr>
        <w:pStyle w:val="FirstParagraph"/>
      </w:pPr>
      <w:r>
        <w:t xml:space="preserve">Five immediate extensions are appropriate. First, integrate the Hagan et al. (2024) LiDAR raster when accessible, completing the Maine plot-level cross-validation. Second, extend the analysis to Massachusetts, Connecticut, and Rhode Island for full-New-England comparison. Third, project LSOG share forward using a climate-aware succession model integrated with the master plot table. Fourth, pursue a Data Use Agreement for true plot coordinates and re-run the Potapov extraction. Fifth, link LSOG class to wood-quality and harvest-economics outcomes for direct working-forest-economy linkage.</w:t>
      </w:r>
    </w:p>
    <w:p>
      <w:r>
        <w:pict>
          <v:rect style="width:0;height:1.5pt" o:hralign="center" o:hrstd="t" o:hr="t"/>
        </w:pict>
      </w:r>
    </w:p>
    <w:bookmarkEnd w:id="52"/>
    <w:bookmarkEnd w:id="53"/>
    <w:bookmarkStart w:id="54" w:name="conclusion"/>
    <w:p>
      <w:pPr>
        <w:pStyle w:val="Heading2"/>
      </w:pPr>
      <w:r>
        <w:t xml:space="preserve">5. Conclusion</w:t>
      </w:r>
    </w:p>
    <w:p>
      <w:pPr>
        <w:pStyle w:val="FirstParagraph"/>
      </w:pPr>
      <w:r>
        <w:t xml:space="preserve">A four-state Northeastern LSOG analysis using calibrated FIA-proxy methodology reveals a striking regional pattern. Maine, the most heavily forested state in the United States, has the lowest LSOG share in the region (14.1 percent), roughly half the share of its neighbors. The 20-year trend is similarly divergent: New Hampshire, Vermont, and New York are aging at 9 to 11 percentage points per decade, while Maine adds approximately 2 percentage points per decade, a borderline-significant slope. The pattern is consistent with Maine’s continuous industrial-forestry history relative to land abandonment in New Hampshire and Vermont and protected reserve management in New York.</w:t>
      </w:r>
    </w:p>
    <w:p>
      <w:pPr>
        <w:pStyle w:val="BodyText"/>
      </w:pPr>
      <w:r>
        <w:t xml:space="preserve">The structural age divergence has direct implications for biodiversity (cavity-nesting birds, lichens, dead-wood-dependent fauna), carbon storage (old-growth-class plots store 3.6 times the live carbon of Not-LSOG plots in Maine), and forest policy. The LS+OG combined class is the most stable category for policy reporting; the OG-only class is sensitive to methodological choices and should be reported with explicit uncertainty.</w:t>
      </w:r>
    </w:p>
    <w:p>
      <w:pPr>
        <w:pStyle w:val="BodyText"/>
      </w:pPr>
      <w:r>
        <w:t xml:space="preserve">The methodology generalizes to other regions, and the publicly archived master plot table at output_unified/lsog_ne_plot_table.csv provides an analytical foundation for downstream policy, biodiversity, and carbon analyses. The choices each state makes in the next decade will shape this regional pattern for the next quarter century.</w:t>
      </w:r>
    </w:p>
    <w:p>
      <w:r>
        <w:pict>
          <v:rect style="width:0;height:1.5pt" o:hralign="center" o:hrstd="t" o:hr="t"/>
        </w:pict>
      </w:r>
    </w:p>
    <w:bookmarkEnd w:id="54"/>
    <w:bookmarkStart w:id="55" w:name="notes-for-next-session-1"/>
    <w:p>
      <w:pPr>
        <w:pStyle w:val="Heading2"/>
      </w:pPr>
      <w:r>
        <w:t xml:space="preserve">Notes for next session</w:t>
      </w:r>
    </w:p>
    <w:p>
      <w:pPr>
        <w:pStyle w:val="FirstParagraph"/>
      </w:pPr>
      <w:r>
        <w:t xml:space="preserve">This V1 body draft covers Sections 2 through 5 (Methods, Results, Discussion, Conclusion). Combined with the V1 Introduction and Abstract from MANUSCRIPT_DRAFT_V1_INTRODUCTION.md, the manuscript is at first-complete-draft stage.</w:t>
      </w:r>
    </w:p>
    <w:p>
      <w:pPr>
        <w:pStyle w:val="BodyText"/>
      </w:pPr>
      <w:r>
        <w:t xml:space="preserve">Open items for V2:</w:t>
      </w:r>
    </w:p>
    <w:p>
      <w:pPr>
        <w:pStyle w:val="Compact"/>
        <w:numPr>
          <w:ilvl w:val="0"/>
          <w:numId w:val="1002"/>
        </w:numPr>
      </w:pPr>
      <w:r>
        <w:t xml:space="preserve">Reconcile the Introduction’s old (25.8 / 55.6 / 57.8 / 46.5) numbers with the calibrated v5.1 numbers (14.1 / 31.2 / 28.8 / 27.2) used in the body. The story is the same; the magnitudes differ.</w:t>
      </w:r>
    </w:p>
    <w:p>
      <w:pPr>
        <w:pStyle w:val="Compact"/>
        <w:numPr>
          <w:ilvl w:val="0"/>
          <w:numId w:val="1002"/>
        </w:numPr>
      </w:pPr>
      <w:r>
        <w:t xml:space="preserve">Add full citations: Hagan et al. (2024), Bruening et al. (2026), Pelz et al. (2023), Riley et al. (2021, 2022), Potapov et al. (2021), Bechtold and Patterson (2005).</w:t>
      </w:r>
    </w:p>
    <w:p>
      <w:pPr>
        <w:pStyle w:val="Compact"/>
        <w:numPr>
          <w:ilvl w:val="0"/>
          <w:numId w:val="1002"/>
        </w:numPr>
      </w:pPr>
      <w:r>
        <w:t xml:space="preserve">Aaron review for voice, accuracy, and emphasis.</w:t>
      </w:r>
    </w:p>
    <w:p>
      <w:pPr>
        <w:pStyle w:val="Compact"/>
        <w:numPr>
          <w:ilvl w:val="0"/>
          <w:numId w:val="1002"/>
        </w:numPr>
      </w:pPr>
      <w:r>
        <w:t xml:space="preserve">Coauthor input on framing (Adam Daigneault, Dan Hayes, possibly Thompson team).</w:t>
      </w:r>
    </w:p>
    <w:p>
      <w:pPr>
        <w:pStyle w:val="Compact"/>
        <w:numPr>
          <w:ilvl w:val="0"/>
          <w:numId w:val="1002"/>
        </w:numPr>
      </w:pPr>
      <w:r>
        <w:t xml:space="preserve">Render embedded tables as proper .docx tables and figures from the figures/ folder.</w:t>
      </w:r>
    </w:p>
    <w:p>
      <w:pPr>
        <w:pStyle w:val="Compact"/>
        <w:numPr>
          <w:ilvl w:val="0"/>
          <w:numId w:val="1002"/>
        </w:numPr>
      </w:pPr>
      <w:r>
        <w:t xml:space="preserve">Confirm exact statistics against the unified plot table once more.</w:t>
      </w:r>
    </w:p>
    <w:p>
      <w:pPr>
        <w:pStyle w:val="Compact"/>
        <w:numPr>
          <w:ilvl w:val="0"/>
          <w:numId w:val="1002"/>
        </w:numPr>
      </w:pPr>
      <w:r>
        <w:t xml:space="preserve">Add Hagan plot-level cross-validation results when the raster lands.</w:t>
      </w:r>
    </w:p>
    <w:p>
      <w:pPr>
        <w:pStyle w:val="Compact"/>
        <w:numPr>
          <w:ilvl w:val="0"/>
          <w:numId w:val="1002"/>
        </w:numPr>
      </w:pPr>
      <w:r>
        <w:t xml:space="preserve">Add a Supplementary Material section documenting the v5.1 calibration grid search and the wall-to-wall TM_ID encoding fix.</w:t>
      </w:r>
    </w:p>
    <w:p>
      <w:r>
        <w:pict>
          <v:rect style="width:0;height:1.5pt" o:hralign="center" o:hrstd="t" o:hr="t"/>
        </w:pict>
      </w:r>
    </w:p>
    <w:p>
      <w:pPr>
        <w:pStyle w:val="FirstParagraph"/>
      </w:pPr>
      <w:r>
        <w:rPr>
          <w:i/>
          <w:iCs/>
        </w:rPr>
        <w:t xml:space="preserve">Body draft path: ~/Documents/MAINE/DATA/FIA/ME/LSOG_cardinal_setup/MANUSCRIPT_DRAFT_V1_BODY.md</w:t>
      </w:r>
      <w:r>
        <w:t xml:space="preserve"> </w:t>
      </w:r>
      <w:r>
        <w:rPr>
          <w:i/>
          <w:iCs/>
        </w:rPr>
        <w:t xml:space="preserve">Outline reference: MANUSCRIPT_OUTLINE.md</w:t>
      </w:r>
      <w:r>
        <w:t xml:space="preserve"> </w:t>
      </w:r>
      <w:r>
        <w:rPr>
          <w:i/>
          <w:iCs/>
        </w:rPr>
        <w:t xml:space="preserve">Introduction reference: MANUSCRIPT_DRAFT_V1_INTRODUCTION.md</w:t>
      </w:r>
      <w:r>
        <w:t xml:space="preserve"> </w:t>
      </w:r>
      <w:r>
        <w:rPr>
          <w:i/>
          <w:iCs/>
        </w:rPr>
        <w:t xml:space="preserve">Source data: output_unified/lsog_ne_plot_table.csv</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 Successional and Old Growth forest distribution across the Northeast: a four-state comparison</dc:title>
  <dc:creator>Aaron Weiskittel, Adam Daigneault, Daniel Hayes (working coauthors)</dc:creator>
  <cp:keywords/>
  <dcterms:created xsi:type="dcterms:W3CDTF">2026-04-30T14:38:29Z</dcterms:created>
  <dcterms:modified xsi:type="dcterms:W3CDTF">2026-04-30T14:38:29Z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Manuscript V1 draft (April 30, 2026) - combined Introduction and Body</vt:lpwstr>
  </property>
</Properties>
</file>