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3D28"/>
          <w:sz w:val="34"/>
          <w:szCs w:val="34"/>
        </w:rPr>
        <w:t xml:space="preserve">Reproducing and Stress-Testing the Hagan et al. (2026) LSOG Map</w:t>
      </w:r>
    </w:p>
    <w:p>
      <w:pPr>
        <w:spacing w:after="40"/>
      </w:pPr>
      <w:r>
        <w:rPr>
          <w:color w:val="666666"/>
          <w:sz w:val="24"/>
          <w:szCs w:val="24"/>
        </w:rPr>
        <w:t xml:space="preserve">A full unorganized-townships cross-validation of the FIA-based v5.1 classifier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Northeast LSOG Project  |  Center for Research on Sustainable Forests, University of Maine  |  June 9, 2026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The publication of Hagan, Shamgochian, Taylor and Reed (2026) in </w:t>
      </w:r>
      <w:r>
        <w:rPr>
          <w:i/>
          <w:iCs/>
        </w:rPr>
        <w:t xml:space="preserve">Ecosphere</w:t>
      </w:r>
      <w:r>
        <w:t xml:space="preserve">, together with its Zenodo deposit, supplied the three pieces our project had been missing: the 463-plot LiDAR training data, the exact random forest recipe, and the per-hectare canopy metrics for all 4.2 million hectares of Maine's unorganized townships. With these we reproduced the published classification, validated our FIA-based v5.1 classifier against it across the full territory, stress-tested every step, and confirmed that the privately shared Seven Islands raster (SILC) is the same product as the published model.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published model reproduces faithfully: 94.2% binary accuracy (published 94.1%), same top predictor (canopy cover above 15 m), and wall-to-wall LS+OGL of 180,000 ha versus the published 161,881 ha.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full-UT cross-validation now rests on 1,760 FIA plots, roughly fourteen times the earlier Pingree-only sample of 125.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FIA proxy and LiDAR agree on the landscape total but not plot by plot: v5.1 any-LSOG 12.0% versus Hagan 21.1%, Cohen kappa 0.12. The two methods measure related but distinct stand properties.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result is robust: a 20-seed ensemble, a coordinate-fuzz test, and a 2,000-sample bootstrap all confirm the reproduction and the weak plot-level agreement.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SILC and Hagan's published model agree almost perfectly (pixel kappa 0.97 across 289,703 hectares), retroactively validating the Phase 9 cross-validation.</w:t>
      </w:r>
    </w:p>
    <w:p>
      <w:pPr>
        <w:pStyle w:val="Heading1"/>
      </w:pPr>
      <w:r>
        <w:t xml:space="preserve">1.  Background and data</w:t>
      </w:r>
    </w:p>
    <w:p>
      <w:pPr>
        <w:spacing w:after="120"/>
      </w:pPr>
      <w:r>
        <w:t xml:space="preserve">Our v5.1 classifier scores FIA plots on six structural dimensions (large-tree basal area, maturity, structural diversity, canopy stocking, deadwood, and Potapov canopy height) to assign Not LSOG, Transitioning LS, LS, or old-growth. Hagan et al. instead classify every hectare from eight airborne-LiDAR canopy metrics with a random forest. Until now we could only compare the two indirectly. The Zenodo deposit (10.5281/zenodo.19696494) removed that barrier.</w:t>
      </w:r>
    </w:p>
    <w:p>
      <w:pPr>
        <w:pStyle w:val="Heading1"/>
      </w:pPr>
      <w:r>
        <w:t xml:space="preserve">2.  Reproduction of the published model</w:t>
      </w:r>
    </w:p>
    <w:p>
      <w:pPr>
        <w:spacing w:after="120"/>
      </w:pPr>
      <w:r>
        <w:t xml:space="preserve">Refitting the random forest on the 463 training hectares reproduced the published performance closely. The out-of-bag binary accuracy for the Not-LSOG versus LSOG distinction was 94.2% against the published 94.1%, and the fraction of canopy above 15 m was the most important predictor in both.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2857500"/>
            <wp:effectExtent t="0" r="0" b="0" l="0"/>
            <wp:docPr id="1" name="Figure 1. Reproduced random forest variable importance. Canopy cover above 15 m dominates, matching the published model." descr="Figure 1. Reproduced random forest variable importance. Canopy cover above 15 m dominates, matching the published model." title="Figure 1. Reproduced random forest variable importance. Canopy cover above 15 m dominates, matching the published mod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1. Reproduced random forest variable importance. Canopy cover above 15 m dominates, matching the published model.</w:t>
      </w:r>
    </w:p>
    <w:p>
      <w:pPr>
        <w:pStyle w:val="Heading1"/>
      </w:pPr>
      <w:r>
        <w:t xml:space="preserve">3.  Wall-to-wall area comparison</w:t>
      </w:r>
    </w:p>
    <w:p>
      <w:pPr>
        <w:spacing w:after="120"/>
      </w:pPr>
      <w:r>
        <w:t xml:space="preserve">Applying the reproduced model to all 4.28 million hectares returned per-class areas closely matching the published Table 7. The old-growth-like class reproduced almost exactly.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Reproduced 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Published 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Reproduced ha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Published ha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LSOG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78.1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80.3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3,343,087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3,361,292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Transitioning LS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17.7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15.8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758,788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662,696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3.32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142,118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124,821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OGL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0.88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37,773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37,060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LS + OGL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4.20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3.9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179,891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161,881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095750" cy="2457450"/>
            <wp:effectExtent t="0" r="0" b="0" l="0"/>
            <wp:docPr id="1" name="Figure 2. Reproduced versus published wall-to-wall class percentages." descr="Figure 2. Reproduced versus published wall-to-wall class percentages." title="Figure 2. Reproduced versus published wall-to-wall class percentag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2. Reproduced versus published wall-to-wall class percentages.</w:t>
      </w:r>
    </w:p>
    <w:p>
      <w:pPr>
        <w:spacing w:after="120"/>
      </w:pPr>
      <w:r>
        <w:rPr>
          <w:b/>
          <w:bCs/>
        </w:rPr>
        <w:t xml:space="preserve">Note. </w:t>
      </w:r>
      <w:r>
        <w:t xml:space="preserve">The reproduced LS+OGL share (4.2%) sits slightly above the published 3.9% because the archived grid carries about 96,000 more edge hectares than the published 4,185,869-ha study-area total, and because of random forest stochasticity (Section 5).</w:t>
      </w:r>
    </w:p>
    <w:p>
      <w:pPr>
        <w:pStyle w:val="Heading1"/>
      </w:pPr>
      <w:r>
        <w:t xml:space="preserve">4.  Full unorganized-townships cross-validation</w:t>
      </w:r>
    </w:p>
    <w:p>
      <w:pPr>
        <w:spacing w:after="120"/>
      </w:pPr>
      <w:r>
        <w:t xml:space="preserve">Sampling the reproduced Hagan classification at every Maine FIA plot placed 3,527 plots inside the unorganized townships (1,760 in the 2019-2023 panel). Hagan's any-LSOG rate at the plot locations (21.1%) matched the landscape wall-to-wall rate (19.7%), confirming the FIA sample is spatially representative. The two products diverge plot by plot, however.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Share (2019-2023, n=1,760)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v5.1 (FIA)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Hagan (LiDAR)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any-LSOG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12.0% [10.5, 13.5]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21.1% [19.2, 23.0]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LS + 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1.19% [0.68, 1.71]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3.86% [3.01, 4.77]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OG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0.85%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Cohen kappa (any-LSOG)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000500" cy="2590800"/>
            <wp:effectExtent t="0" r="0" b="0" l="0"/>
            <wp:docPr id="1" name="Figure 3. FIA proxy versus LiDAR at the same 1,760 plots, with 95% bootstrap confidence intervals." descr="Figure 3. FIA proxy versus LiDAR at the same 1,760 plots, with 95% bootstrap confidence intervals." title="Figure 3. FIA proxy versus LiDAR at the same 1,760 plots, with 95% bootstrap confidence interv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3. FIA proxy versus LiDAR at the same 1,760 plots, with 95% bootstrap confidence intervals.</w:t>
      </w:r>
    </w:p>
    <w:p>
      <w:pPr>
        <w:spacing w:after="120"/>
      </w:pPr>
      <w:r>
        <w:t xml:space="preserve">The divergence is structural. Hagan's LiDAR reads canopy disturbance from skid trails and selective harvest that FIA tree records miss, while v5.1 weights tree-level attributes that change after partial harvest even where the residual canopy stays tall. Only the combined LS+OG category should be treated as policy-stable across methods.</w:t>
      </w:r>
    </w:p>
    <w:p>
      <w:pPr>
        <w:pStyle w:val="Heading1"/>
      </w:pPr>
      <w:r>
        <w:t xml:space="preserve">5.  Stress test</w:t>
      </w:r>
    </w:p>
    <w:p>
      <w:pPr>
        <w:spacing w:after="120"/>
      </w:pPr>
      <w:r>
        <w:t xml:space="preserve">Three robustness checks confirm the findings are not artifacts of model randomness, coordinate fuzzing, or sampling.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20-seed RF ensemble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LS+OGL 4.23% (SD 0.06, range 4.12 to 4.34); kappa_any 0.128 (SD 0.004). Published 3.9% lies just below the seed range, so the gap is the denominator, not noise.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FIA coordinate-fuzz (1 km modal)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kappa_any rises from 0.123 to 0.207 but remains fair-to-weak; fuzzing explains part but not most of the disagreement.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Bootstrap (B = 2,000)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v5.1 and Hagan any-LSOG shares fall in non-overlapping intervals; kappa_any 0.122 [0.071, 0.175].</w:t>
            </w:r>
          </w:p>
        </w:tc>
      </w:tr>
    </w:tbl>
    <w:p>
      <w:pPr>
        <w:pStyle w:val="Heading1"/>
      </w:pPr>
      <w:r>
        <w:t xml:space="preserve">6.  SILC update: the privately shared raster equals the published model</w:t>
      </w:r>
    </w:p>
    <w:p>
      <w:pPr>
        <w:spacing w:after="120"/>
      </w:pPr>
      <w:r>
        <w:t xml:space="preserve">Because the published model is now reproducible, we tested the Seven Islands LSOG raster (SILC, M2V2b) against it on the Pingree ownership. The two Hagan-lineage products agree almost perfectly, while v5.1 diverges from both equally.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Cohen kappa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SILC vs reproduced Hagan, any-LSOG (pixel)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289,703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0.966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SILC vs reproduced Hagan, LS+OG (plot)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1.000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v5.1 vs reproduced Hagan, any-LSOG (plot)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0.050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v5.1 vs SILC, any-LSOG (plot)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0.065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095750" cy="2152650"/>
            <wp:effectExtent t="0" r="0" b="0" l="0"/>
            <wp:docPr id="1" name="Figure 4. The two Hagan-lineage products agree (kappa near 1); the FIA proxy diverges from both." descr="Figure 4. The two Hagan-lineage products agree (kappa near 1); the FIA proxy diverges from both." title="Figure 4. The two Hagan-lineage products agree (kappa near 1); the FIA proxy diverges from bo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4. The two Hagan-lineage products agree (kappa near 1); the FIA proxy diverges from both.</w:t>
      </w:r>
    </w:p>
    <w:p>
      <w:pPr>
        <w:pStyle w:val="Heading1"/>
      </w:pPr>
      <w:r>
        <w:t xml:space="preserve">7.  Implications and next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published Hagan numbers are reproducible from the public deposit and can be cited as the authoritative LiDAR benchmark for Maine's unorganized townships.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Area estimates of LSOG forest should always state the classification method; FIA-proxy and LiDAR products are not interchangeable at the plot level.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manuscript's cross-validation and Limitations sections can now cite the full-UT result (n=1,760) and the SILC equivalence, replacing the Phase 9 single-ownership 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reproduced classification is saved as a 100 m raster (output_phase10/C_hagan_class_100m.tif) for any further ownership or size-class analysis.</w:t>
      </w:r>
    </w:p>
    <w:p>
      <w:pPr>
        <w:pStyle w:val="Heading1"/>
      </w:pPr>
      <w:r>
        <w:t xml:space="preserve">Sources</w:t>
      </w:r>
    </w:p>
    <w:p>
      <w:pPr>
        <w:spacing w:after="120"/>
      </w:pPr>
      <w:r>
        <w:t xml:space="preserve">Hagan, J.M., Shamgochian, B., Taylor, M.M.L. &amp; Reed, J.M. (2026). Using LiDAR to quantify, map, and conserve late-successional and old-growth forest in Maine, USA. </w:t>
      </w:r>
      <w:r>
        <w:rPr>
          <w:i/>
          <w:iCs/>
        </w:rPr>
        <w:t xml:space="preserve">Ecosphere</w:t>
      </w:r>
      <w:r>
        <w:t xml:space="preserve"> 17:e70670.  </w:t>
      </w:r>
      <w:hyperlink w:history="1" r:id="rIdnfepdzxnkzvltl_myulwv">
        <w:r>
          <w:rPr>
            <w:rStyle w:val="Hyperlink"/>
          </w:rPr>
          <w:t xml:space="preserve">doi.org/10.1002/ecs2.70670</w:t>
        </w:r>
      </w:hyperlink>
    </w:p>
    <w:p>
      <w:pPr>
        <w:spacing w:after="120"/>
      </w:pPr>
      <w:r>
        <w:t xml:space="preserve">Hagan et al. (2026). Supplemental data deposit. Zenodo. </w:t>
      </w:r>
      <w:hyperlink w:history="1" r:id="rIdhlrtzfjmubj7zict4mrto">
        <w:r>
          <w:rPr>
            <w:rStyle w:val="Hyperlink"/>
          </w:rPr>
          <w:t xml:space="preserve">doi.org/10.5281/zenodo.19696494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Northeast LSOG Project  |  CRSF, University of Maine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A3D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fepdzxnkzvltl_myulwv" Type="http://schemas.openxmlformats.org/officeDocument/2006/relationships/hyperlink" Target="https://doi.org/10.1002/ecs2.70670" TargetMode="External"/><Relationship Id="rIdhlrtzfjmubj7zict4mrto" Type="http://schemas.openxmlformats.org/officeDocument/2006/relationships/hyperlink" Target="https://doi.org/10.5281/zenodo.19696494" TargetMode="External"/><Relationship Id="rId8" Type="http://schemas.openxmlformats.org/officeDocument/2006/relationships/image" Target="media/a19e089579a8ccf183c61c42bb8d532425d4456c.png"/><Relationship Id="rId9" Type="http://schemas.openxmlformats.org/officeDocument/2006/relationships/image" Target="media/b1b7d8f08813396a575291e876d6ea21b785fdb6.png"/><Relationship Id="rId10" Type="http://schemas.openxmlformats.org/officeDocument/2006/relationships/image" Target="media/511413bcb5934691b235c1bf7172a8d73ecf7496.png"/><Relationship Id="rId11" Type="http://schemas.openxmlformats.org/officeDocument/2006/relationships/image" Target="media/fdde07dc637b336e7d6231c0d074e8620a1a4a1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2026-06-09T15:27:10.506Z</dcterms:created>
  <dcterms:modified xsi:type="dcterms:W3CDTF">2026-06-09T15:27:10.507Z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