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88" w:line="268"/>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88" w:line="268"/>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88" w:line="268"/>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88" w:line="268"/>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88" w:line="268"/>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unbiased baseline the LiDAR map approximates (unbiased for amount, though imprecise at FIA's plot density),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88" w:line="268"/>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88" w:line="268"/>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88" w:line="268"/>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spacing w:after="88" w:line="268"/>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88" w:line="268"/>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pStyle w:val="Heading1"/>
        <w:keepNext/>
      </w:pPr>
      <w:r>
        <w:t xml:space="preserve">4.  What old growth is, and what a canopy sensor can see</w:t>
      </w:r>
    </w:p>
    <w:p>
      <w:pPr>
        <w:spacing w:after="88" w:line="268"/>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88" w:line="268"/>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scoring low on continuity. Continuity is one weighted axis, valued differently by objective, not an absolute disqualifier of ecological maturity, but it is real and a canopy sensor cannot see it.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 (These 463 plots are a purposive training sample, so the dimensionality above is conditional on that design; the design-based FIA estimate remains the population anchor.)</w:t>
      </w:r>
    </w:p>
    <w:p>
      <w:pPr>
        <w:keepNext/>
        <w:spacing w:after="40" w:before="120"/>
        <w:jc w:val="center"/>
      </w:pPr>
      <w:r>
        <w:drawing>
          <wp:inline distT="0" distB="0" distL="0" distR="0">
            <wp:extent cx="4114800" cy="337185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3371850"/>
                    </a:xfrm>
                    <a:prstGeom prst="rect">
                      <a:avLst/>
                    </a:prstGeom>
                  </pic:spPr>
                </pic:pic>
              </a:graphicData>
            </a:graphic>
          </wp:inline>
        </w:drawing>
      </w:r>
    </w:p>
    <w:p>
      <w:pPr>
        <w:spacing w:after="160" w:before="60"/>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88" w:line="268"/>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FIA is unbiased for area but, at its plot density, imprecise; its sparse sample cannot by itself locate or rule out the rare, small LSOG patches a wall-to-wall map can flag. Inventory and map are therefore complementary, not rival: the inventory bounds how much exists, while a verified map locates candidate patches the sparse plots may miss.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unbiased ground baseline places it in a range of roughly 3.3 to 4.6%, and that uncertainty, partly a matter of FIA's sampling intensity, is exactly what a $200-300 million prioritization should carry.</w:t>
      </w:r>
    </w:p>
    <w:p>
      <w:pPr>
        <w:spacing w:after="88" w:line="268"/>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88" w:line="268"/>
        <w:jc w:val="both"/>
      </w:pPr>
      <w:r>
        <w:rPr>
          <w:sz w:val="22"/>
          <w:szCs w:val="22"/>
        </w:rPr>
        <w:t xml:space="preserve">Finally, the original analysis does not benchmark its map against any independent product; although it references GEDI-based structural work (de Conto et al. 2024), the spaceborne canopy-height products covering the area (Potapov et al. 2021; Lang et al. 2023) are neither cited nor used as a cross-check. These are global and free but coarser and noisier than airborne LiDAR, with documented accuracy limits (Moudry et al. 2024); we use the canopy-height product only as one operationalization to demonstrate disagreement (Section 3), never as a reference. The unbiased baseline throughout is the design-based FIA estimate, with the cross-map comparison establishing that credible alternatives disagree.</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88" w:line="268"/>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88" w:line="268"/>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88" w:line="268"/>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88" w:line="268"/>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88" w:line="268"/>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The specific cutoffs are illustrative and a formal threshold-sensitivity analysis is a priority; the dead-wood axis here uses standing snags only, because coarse woody debris was not in the inventory pull and would strengthen it, and continuity from treatment codes is permissive, so 6.5% is best read as an upper bound pending the disturbance-history layer. The requirement that several axes be met simultaneously, however, is what separates true LSOG from tall, big-treed, or merely mature forest, and is robust to the exact thresholds.</w:t>
      </w:r>
    </w:p>
    <w:p>
      <w:pPr>
        <w:keepNext/>
        <w:spacing w:after="40" w:before="120"/>
        <w:jc w:val="center"/>
      </w:pPr>
      <w:r>
        <w:drawing>
          <wp:inline distT="0" distB="0" distL="0" distR="0">
            <wp:extent cx="3143250" cy="3429000"/>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3429000"/>
                    </a:xfrm>
                    <a:prstGeom prst="rect">
                      <a:avLst/>
                    </a:prstGeom>
                  </pic:spPr>
                </pic:pic>
              </a:graphicData>
            </a:graphic>
          </wp:inline>
        </w:drawing>
      </w:r>
    </w:p>
    <w:p>
      <w:pPr>
        <w:spacing w:after="160" w:before="60"/>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88" w:line="268"/>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which we demonstrate here: intersecting the mapped LSOG with the Hansen Global Forest Change record (2001-2023), 24% of canopy-mapped LSOG has already experienced Landsat-detected stand-replacing disturbance, failing strict continuity even over this short window, while 76% is intact over the record (Supporting Information, Fig. S6); legacy harvest and skid trails predating 2001 and partial harvests are not captured, so this is a lenient test and the longer LCMS record (1985-) would tighten it.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60" w:before="16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88" w:line="268"/>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strict old-growth-grade forest to be protected at high cost, it counts much transitioning and late-successional forest and so exceeds the strict resource. That breadth is a legitimate, objective-dependent choice rather than an error, the transitioning class captures the small patches and lifeboats that retention ecology values, but it must be read as such, and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88" w:line="268"/>
        <w:jc w:val="both"/>
      </w:pPr>
      <w:r>
        <w:rPr>
          <w:sz w:val="22"/>
          <w:szCs w:val="22"/>
        </w:rPr>
        <w:t xml:space="preserve">Where LSOG sits on the landscape is itself informative about risk. Overlaying the mapped LSOG with terrain and the satellite disturbance record (Supporting Information, Fig. S5), using the airborne Hagan map as the LSOG layer so the comparison is independent of the TreeMap-derived disturbance product, and with slope as a first-order accessibility proxy pending the harvest-probability surface now in development, it concentrates on steeper, less accessible ground (median slope 5.3 versus 3.0 degrees) and in more disturbance-prone settings; the share of forest mapped as LSOG rises from 12% on the gentlest terrain to 37% on the steepest, and from 17% to 35% across the disturbance gradient. Much of what the map flags therefore persists where harvesting is costly or impractical and where natural disturbance, not the saw, drives change. That cuts two ways: a single flat rate of loss overstates the near-term harvest risk to the inaccessible majority, while the most exposed, disturbance-prone stands may not persist as LSOG regardless of protection, so targeting and pricing should reflect that the resource is not uniformly at risk.</w:t>
      </w:r>
    </w:p>
    <w:p>
      <w:pPr>
        <w:spacing w:after="88" w:line="268"/>
        <w:jc w:val="both"/>
      </w:pPr>
      <w:r>
        <w:rPr>
          <w:sz w:val="22"/>
          <w:szCs w:val="22"/>
        </w:rPr>
        <w:t xml:space="preserve">It helps to see the estimates side by side (Table 8). For the same forest, the amount called LSOG ranges from about 4% under a strict old-growth definition to roughly 22% under the broad canopy class, a fivefold span that is the practical face of the multidimensionality argument. The design-based figures carry sampling intervals; the broad canopy figures do not; and the four-axis true-LSOG estimate, 6.5%, falls where the criteria converge. The honest reporting unit is this range with its definitions attached, not a single headline number.</w:t>
      </w:r>
    </w:p>
    <w:p>
      <w:pPr>
        <w:keepNext/>
        <w:spacing w:after="60" w:before="160"/>
      </w:pPr>
      <w:r>
        <w:rPr>
          <w:i/>
          <w:iCs/>
          <w:color w:val="555555"/>
          <w:sz w:val="18"/>
          <w:szCs w:val="18"/>
        </w:rPr>
        <w:t xml:space="preserve">Table 8. How much LSOG is in Maine? Estimates for the same forest under different methods and definitions. Design-based (FIA) rows carry 95% confidence intervals; remote-sensing class areas do not. The right number depends on the objective and definition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2400"/>
        <w:gridCol w:w="3120"/>
      </w:tblGrid>
      <w:tr>
        <w:trPr>
          <w:cantSplit/>
        </w:trPr>
        <w:tc>
          <w:tcPr>
            <w:tcW w:type="dxa" w:w="384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 or definition</w:t>
            </w:r>
          </w:p>
        </w:tc>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LSOG (% of forest)</w:t>
            </w:r>
          </w:p>
        </w:tc>
        <w:tc>
          <w:tcPr>
            <w:tcW w:type="dxa" w:w="31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What it captures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any-LSOG (incl. transitioning)</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19.7 reported; 21.9 reproduced</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tall, big-tree canopy; broad screening class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Canopy-height model (v5.1-GEDI)</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height and cover proxy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structural imputation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imputed FIA structural class (30 m)</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large-tree basal area &gt;= 30 ft-sq/ac</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big-tree structure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Reproduced LS + OGL (strict canopy classes)</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about 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late-successional + old-growth canopy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stand age &gt;= 120 yr (strict old)</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modeled stand age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True LSOG, four-axis classification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6.5 [5.6, 7.4]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structure + dead wood + composition + continuity</w:t>
            </w:r>
          </w:p>
        </w:tc>
      </w:tr>
    </w:tbl>
    <w:p>
      <w:pPr>
        <w:pStyle w:val="Heading1"/>
        <w:keepNext/>
      </w:pPr>
      <w:r>
        <w:t xml:space="preserve">10.  Recommendations for future research</w:t>
      </w:r>
    </w:p>
    <w:p>
      <w:pPr>
        <w:spacing w:after="88" w:line="268"/>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88" w:line="268"/>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22" w:line="214"/>
        <w:ind w:left="330" w:hanging="330"/>
      </w:pPr>
      <w:r>
        <w:rPr>
          <w:sz w:val="19"/>
          <w:szCs w:val="19"/>
        </w:rPr>
        <w:t xml:space="preserve">Barnett, K., G. H. Aplet, and R. T. Belote. 2023. Classifying, inventorying, and mapping mature and old-growth forests in the United States. Frontiers in Forests and Global Change 5:1070372. https://doi.org/10.3389/ffgc.2022.1070372</w:t>
      </w:r>
    </w:p>
    <w:p>
      <w:pPr>
        <w:spacing w:after="22" w:line="214"/>
        <w:ind w:left="330" w:hanging="330"/>
      </w:pPr>
      <w:r>
        <w:rPr>
          <w:sz w:val="19"/>
          <w:szCs w:val="19"/>
        </w:rPr>
        <w:t xml:space="preserve">Box, G. E. P. 1976. Science and statistics. Journal of the American Statistical Association 71:791-799.</w:t>
      </w:r>
    </w:p>
    <w:p>
      <w:pPr>
        <w:spacing w:after="22" w:line="214"/>
        <w:ind w:left="330" w:hanging="330"/>
      </w:pPr>
      <w:r>
        <w:rPr>
          <w:sz w:val="19"/>
          <w:szCs w:val="19"/>
        </w:rPr>
        <w:t xml:space="preserve">de Conto, T., J. Armston, and R. Dubayah. 2024. Characterizing the structural complexity of the Earth's forests with spaceborne lidar. Nature Communications 15:8116. https://doi.org/10.1038/s41467-024-52468-2</w:t>
      </w:r>
    </w:p>
    <w:p>
      <w:pPr>
        <w:spacing w:after="22" w:line="214"/>
        <w:ind w:left="330" w:hanging="330"/>
      </w:pPr>
      <w:r>
        <w:rPr>
          <w:sz w:val="19"/>
          <w:szCs w:val="19"/>
        </w:rPr>
        <w:t xml:space="preserve">Franklin, J. F., and R. Van Pelt. 2004. Spatial aspects of structural complexity in old-growth forests. Journal of Forestry 102(3):22-28.</w:t>
      </w:r>
    </w:p>
    <w:p>
      <w:pPr>
        <w:spacing w:after="22" w:line="214"/>
        <w:ind w:left="330" w:hanging="330"/>
      </w:pPr>
      <w:r>
        <w:rPr>
          <w:sz w:val="19"/>
          <w:szCs w:val="19"/>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22" w:line="214"/>
        <w:ind w:left="330" w:hanging="330"/>
      </w:pPr>
      <w:r>
        <w:rPr>
          <w:sz w:val="19"/>
          <w:szCs w:val="19"/>
        </w:rPr>
        <w:t xml:space="preserve">Hagan, J. M., B. Shamgochian, M. M. L. Taylor, and J. M. Reed. 2026. Using LiDAR to quantify, map, and conserve late-successional and old-growth forest in Maine, USA. Ecosphere 17:e70670.</w:t>
      </w:r>
    </w:p>
    <w:p>
      <w:pPr>
        <w:spacing w:after="22" w:line="214"/>
        <w:ind w:left="330" w:hanging="330"/>
      </w:pPr>
      <w:r>
        <w:rPr>
          <w:sz w:val="19"/>
          <w:szCs w:val="19"/>
        </w:rPr>
        <w:t xml:space="preserve">Lang, N., W. Jetz, K. Schindler, and J. D. Wegner. 2023. A high-resolution canopy height model of the Earth. Nature Ecology &amp; Evolution 7:1778-1789. https://doi.org/10.1038/s41559-023-02206-6</w:t>
      </w:r>
    </w:p>
    <w:p>
      <w:pPr>
        <w:spacing w:after="22" w:line="214"/>
        <w:ind w:left="330" w:hanging="330"/>
      </w:pPr>
      <w:r>
        <w:rPr>
          <w:sz w:val="19"/>
          <w:szCs w:val="19"/>
        </w:rPr>
        <w:t xml:space="preserve">Moudry, V., et al. 2024. Comparison of three global canopy height maps and their applicability to biodiversity modeling: accuracy issues revealed. Ecosphere 15:e70026.</w:t>
      </w:r>
    </w:p>
    <w:p>
      <w:pPr>
        <w:spacing w:after="22" w:line="214"/>
        <w:ind w:left="330" w:hanging="330"/>
      </w:pPr>
      <w:r>
        <w:rPr>
          <w:sz w:val="19"/>
          <w:szCs w:val="19"/>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22" w:line="214"/>
        <w:ind w:left="330" w:hanging="330"/>
      </w:pPr>
      <w:r>
        <w:rPr>
          <w:sz w:val="19"/>
          <w:szCs w:val="19"/>
        </w:rPr>
        <w:t xml:space="preserve">Potapov, P., et al. 2021. Mapping global forest canopy height through the fusion of GEDI and Landsat data. Remote Sensing of Environment 253:112165.</w:t>
      </w:r>
    </w:p>
    <w:p>
      <w:pPr>
        <w:spacing w:after="22" w:line="214"/>
        <w:ind w:left="330" w:hanging="330"/>
      </w:pPr>
      <w:r>
        <w:rPr>
          <w:sz w:val="19"/>
          <w:szCs w:val="19"/>
        </w:rPr>
        <w:t xml:space="preserve">Shamgochian, B., J. Hagan, M. Taylor, and M. Reed. 2025. LSOG Rapid Assessment Protocol (RAP) for Maine (v1.0). Our Climate Common Report, Georgetown, Maine.</w:t>
      </w:r>
    </w:p>
    <w:p>
      <w:pPr>
        <w:spacing w:after="22" w:line="214"/>
        <w:ind w:left="330" w:hanging="330"/>
      </w:pPr>
      <w:r>
        <w:rPr>
          <w:sz w:val="19"/>
          <w:szCs w:val="19"/>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22" w:line="214"/>
        <w:ind w:left="330" w:hanging="330"/>
      </w:pPr>
      <w:r>
        <w:rPr>
          <w:sz w:val="19"/>
          <w:szCs w:val="19"/>
        </w:rPr>
        <w:t xml:space="preserve">Spies, T. A. 2004. Ecological concepts and diversity of old-growth forests. Journal of Forestry 102(3):14-20.</w:t>
      </w:r>
    </w:p>
    <w:p>
      <w:pPr>
        <w:spacing w:after="22" w:line="214"/>
        <w:ind w:left="330" w:hanging="330"/>
      </w:pPr>
      <w:r>
        <w:rPr>
          <w:sz w:val="19"/>
          <w:szCs w:val="19"/>
        </w:rPr>
        <w:t xml:space="preserve">Spracklen, B., and D. V. Spracklen. 2021. Determination of structural characteristics of old-growth forest in Ukraine using spaceborne LiDAR. Remote Sensing 13(7):1233. https://doi.org/10.3390/rs13071233</w:t>
      </w:r>
    </w:p>
    <w:p>
      <w:pPr>
        <w:spacing w:after="22" w:line="214"/>
        <w:ind w:left="330" w:hanging="330"/>
      </w:pPr>
      <w:r>
        <w:rPr>
          <w:sz w:val="19"/>
          <w:szCs w:val="19"/>
        </w:rPr>
        <w:t xml:space="preserve">Stanke, H., A. O. Finley, A. S. Weed, B. F. Walters, and G. M. Domke. 2020. rFIA: an R package for estimation of forest attributes with the FIA database. Environmental Modelling &amp; Software 127:104664.</w:t>
      </w:r>
    </w:p>
    <w:p>
      <w:pPr>
        <w:spacing w:after="22" w:line="214"/>
        <w:ind w:left="330" w:hanging="330"/>
      </w:pPr>
      <w:r>
        <w:rPr>
          <w:sz w:val="19"/>
          <w:szCs w:val="19"/>
        </w:rPr>
        <w:t xml:space="preserve">Thompson, J. R., A. Daigneault, J. Plisinski, I. Moon, and J. Norton. 2026. Pathways for protecting Maine's remaining late-successional and old-growth forests. Property and Environment Research Center.</w:t>
      </w:r>
    </w:p>
    <w:p>
      <w:pPr>
        <w:spacing w:after="22" w:line="214"/>
        <w:ind w:left="330" w:hanging="330"/>
      </w:pPr>
      <w:r>
        <w:rPr>
          <w:sz w:val="19"/>
          <w:szCs w:val="19"/>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7d09fa625605c89bba70771a458fad2ae44faea6.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2026-06-11T13:18:19.763Z</dcterms:created>
  <dcterms:modified xsi:type="dcterms:W3CDTF">2026-06-11T13:18:19.764Z</dcterms:modified>
</cp:coreProperties>
</file>

<file path=docProps/custom.xml><?xml version="1.0" encoding="utf-8"?>
<Properties xmlns="http://schemas.openxmlformats.org/officeDocument/2006/custom-properties" xmlns:vt="http://schemas.openxmlformats.org/officeDocument/2006/docPropsVTypes"/>
</file>