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and places on the order of 27% to 81% of federal forest in the mature class depending on the percentile and index used (Woodall et al. 2023).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2026-06-17T22:34:43.703Z</dcterms:created>
  <dcterms:modified xsi:type="dcterms:W3CDTF">2026-06-17T22:34:43.704Z</dcterms:modified>
</cp:coreProperties>
</file>

<file path=docProps/custom.xml><?xml version="1.0" encoding="utf-8"?>
<Properties xmlns="http://schemas.openxmlformats.org/officeDocument/2006/custom-properties" xmlns:vt="http://schemas.openxmlformats.org/officeDocument/2006/docPropsVTypes"/>
</file>