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D2F71" w:rsidRDefault="007B248A" w14:paraId="2ECDD849" w14:textId="77777777">
      <w:pPr>
        <w:spacing w:before="1600"/>
        <w:jc w:val="center"/>
      </w:pPr>
      <w:r>
        <w:rPr>
          <w:b/>
          <w:color w:val="0C62FB"/>
          <w:sz w:val="24"/>
        </w:rPr>
        <w:t>SLALOM  |  VENDOR REQUEST FOR PROPOSAL</w:t>
      </w:r>
    </w:p>
    <w:p w:rsidR="00AD2F71" w:rsidRDefault="007B248A" w14:paraId="29EF2B82" w14:textId="77777777">
      <w:pPr>
        <w:jc w:val="center"/>
      </w:pPr>
      <w:r>
        <w:rPr>
          <w:b/>
          <w:color w:val="0C62FB"/>
          <w:sz w:val="32"/>
        </w:rPr>
        <w:t>HATCH for Hunger</w:t>
      </w:r>
      <w:r>
        <w:rPr>
          <w:b/>
          <w:color w:val="0C62FB"/>
          <w:sz w:val="32"/>
        </w:rPr>
        <w:br/>
      </w:r>
      <w:r>
        <w:rPr>
          <w:b/>
          <w:color w:val="0C62FB"/>
          <w:sz w:val="32"/>
        </w:rPr>
        <w:t>CRM &amp; Order Orchestration</w:t>
      </w:r>
    </w:p>
    <w:p w:rsidR="00AD2F71" w:rsidRDefault="005053BE" w14:paraId="5764DC89" w14:textId="14439C83">
      <w:pPr>
        <w:jc w:val="center"/>
      </w:pPr>
      <w:r>
        <w:rPr>
          <w:color w:val="0C62FB"/>
          <w:sz w:val="24"/>
        </w:rPr>
        <w:t>120-Minute Vendor Demonstration Script</w:t>
      </w:r>
    </w:p>
    <w:p w:rsidR="00AD2F71" w:rsidRDefault="007B248A" w14:paraId="536D6A75" w14:textId="77777777">
      <w:pPr>
        <w:spacing w:before="560"/>
        <w:jc w:val="center"/>
      </w:pPr>
      <w:r>
        <w:rPr>
          <w:sz w:val="24"/>
        </w:rPr>
        <w:t>July 2026  |  Prepared for Final Vendor Evaluation</w:t>
      </w:r>
    </w:p>
    <w:p w:rsidR="00AD2F71" w:rsidRDefault="007B248A" w14:paraId="2799D98E" w14:textId="77777777">
      <w:pPr>
        <w:jc w:val="center"/>
      </w:pPr>
      <w:r>
        <w:t>Prepared by HATCH for Hunger in partnership with Slalom</w:t>
      </w:r>
    </w:p>
    <w:p w:rsidR="00AD2F71" w:rsidRDefault="007B248A" w14:paraId="543BE843" w14:textId="77777777">
      <w:pPr>
        <w:spacing w:before="1000"/>
        <w:jc w:val="center"/>
      </w:pPr>
      <w:r>
        <w:rPr>
          <w:b/>
          <w:color w:val="FF4D5F"/>
          <w:sz w:val="24"/>
        </w:rPr>
        <w:t>CONFIDENTIAL</w:t>
      </w:r>
    </w:p>
    <w:p w:rsidR="00AD2F71" w:rsidRDefault="007B248A" w14:paraId="194A3DB7" w14:textId="77777777">
      <w:r>
        <w:br w:type="page"/>
      </w:r>
    </w:p>
    <w:p w:rsidR="00AD2F71" w:rsidRDefault="007B248A" w14:paraId="502E541F" w14:textId="77777777">
      <w:pPr>
        <w:pStyle w:val="Heading1"/>
      </w:pPr>
      <w:r>
        <w:t>Purpose and vendor instructions</w:t>
      </w:r>
    </w:p>
    <w:p w:rsidR="00AD2F71" w:rsidRDefault="007B248A" w14:paraId="1C5DFD69" w14:textId="77777777">
      <w:pPr>
        <w:spacing w:line="259" w:lineRule="auto"/>
      </w:pPr>
      <w:r>
        <w:t>The demonstration is designed to test real-world fit for HATCH’s relationship-driven sales and commercial order model. Every vendor will receive the same scenarios and time allocation. Vendors should demonstrate the proposed production solution using HATCH-relevant sample data rather than a generic presentation.</w:t>
      </w:r>
    </w:p>
    <w:p w:rsidR="00AD2F71" w:rsidRDefault="007B248A" w14:paraId="5CCF57F2" w14:textId="77777777">
      <w:pPr>
        <w:pStyle w:val="ListBullet"/>
        <w:spacing w:after="40"/>
      </w:pPr>
      <w:r>
        <w:t>Use the exact product, edition, modules, and third-party components included in the proposal.</w:t>
      </w:r>
    </w:p>
    <w:p w:rsidR="00AD2F71" w:rsidRDefault="007B248A" w14:paraId="196DBE9A" w14:textId="77777777">
      <w:pPr>
        <w:pStyle w:val="ListBullet"/>
        <w:spacing w:after="40"/>
      </w:pPr>
      <w:r>
        <w:t>Use HATCH sample accounts, products, locations, prices, and order details provided below.</w:t>
      </w:r>
    </w:p>
    <w:p w:rsidR="00AD2F71" w:rsidRDefault="007B248A" w14:paraId="2235CBB3" w14:textId="77777777">
      <w:pPr>
        <w:pStyle w:val="ListBullet"/>
        <w:spacing w:after="40"/>
      </w:pPr>
      <w:r>
        <w:t>Show the end-user experience first; explain configuration and architecture only when relevant.</w:t>
      </w:r>
    </w:p>
    <w:p w:rsidR="00AD2F71" w:rsidRDefault="007B248A" w14:paraId="04D45CE2" w14:textId="77777777">
      <w:pPr>
        <w:pStyle w:val="ListBullet"/>
        <w:spacing w:after="40"/>
      </w:pPr>
      <w:r>
        <w:t>Identify any step that requires custom development, a third-party product, or a roadmap capability.</w:t>
      </w:r>
    </w:p>
    <w:p w:rsidR="00AD2F71" w:rsidRDefault="007B248A" w14:paraId="61FC0F2F" w14:textId="77777777">
      <w:pPr>
        <w:pStyle w:val="ListBullet"/>
        <w:spacing w:after="40"/>
      </w:pPr>
      <w:r>
        <w:t>Keep general corporate overview to five minutes. Evaluators may interrupt to ask clarifying questions.</w:t>
      </w:r>
    </w:p>
    <w:p w:rsidR="00AD2F71" w:rsidRDefault="007B248A" w14:paraId="1DDF6A0C" w14:textId="77777777">
      <w:pPr>
        <w:pStyle w:val="ListBullet"/>
        <w:spacing w:after="40"/>
      </w:pPr>
      <w:r>
        <w:t>Implementation team representatives—not only sales presenters—should participate.</w:t>
      </w:r>
    </w:p>
    <w:p w:rsidR="00802BB0" w:rsidRDefault="00C10E6A" w14:paraId="72C7C891" w14:textId="2F477F61">
      <w:pPr>
        <w:pStyle w:val="ListBullet"/>
        <w:spacing w:after="40"/>
      </w:pPr>
      <w:r>
        <w:t>If</w:t>
      </w:r>
      <w:r w:rsidR="00802BB0">
        <w:t xml:space="preserve"> you need more or less time for certain scenarios</w:t>
      </w:r>
      <w:r>
        <w:t>, feel free to adjust the proposed agenda timing as needed</w:t>
      </w:r>
    </w:p>
    <w:p w:rsidR="00AD2F71" w:rsidRDefault="007B248A" w14:paraId="1EF41E63" w14:textId="77777777">
      <w:pPr>
        <w:pStyle w:val="Heading2"/>
      </w:pPr>
      <w:r>
        <w:t>Demo actors and sample data</w:t>
      </w:r>
    </w:p>
    <w:tbl>
      <w:tblPr>
        <w:tblW w:w="0" w:type="auto"/>
        <w:jc w:val="center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7344"/>
      </w:tblGrid>
      <w:tr w:rsidR="00AD2F71" w14:paraId="0655D20A" w14:textId="77777777">
        <w:trPr>
          <w:tblHeader/>
          <w:jc w:val="center"/>
        </w:trPr>
        <w:tc>
          <w:tcPr>
            <w:tcW w:w="2448" w:type="dxa"/>
            <w:shd w:val="clear" w:color="auto" w:fill="0C62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7B248A" w14:paraId="163E6F25" w14:textId="77777777">
            <w:pPr>
              <w:jc w:val="center"/>
            </w:pPr>
            <w:r>
              <w:rPr>
                <w:b/>
                <w:color w:val="FFFFFF"/>
              </w:rPr>
              <w:t>Data type</w:t>
            </w:r>
          </w:p>
        </w:tc>
        <w:tc>
          <w:tcPr>
            <w:tcW w:w="7344" w:type="dxa"/>
            <w:shd w:val="clear" w:color="auto" w:fill="0C62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7B248A" w14:paraId="743A943D" w14:textId="77777777">
            <w:pPr>
              <w:jc w:val="center"/>
            </w:pPr>
            <w:r>
              <w:rPr>
                <w:b/>
                <w:color w:val="FFFFFF"/>
              </w:rPr>
              <w:t>Sample value</w:t>
            </w:r>
          </w:p>
        </w:tc>
      </w:tr>
      <w:tr w:rsidR="00AD2F71" w14:paraId="0B7B7AE3" w14:textId="77777777">
        <w:trPr>
          <w:jc w:val="center"/>
        </w:trPr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7B248A" w14:paraId="25677013" w14:textId="77777777">
            <w:r>
              <w:t>Food bank account</w:t>
            </w:r>
          </w:p>
        </w:tc>
        <w:tc>
          <w:tcPr>
            <w:tcW w:w="73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7B248A" w14:paraId="0C43435A" w14:textId="77777777">
            <w:r>
              <w:t>Central Pennsylvania Food Bank</w:t>
            </w:r>
          </w:p>
        </w:tc>
      </w:tr>
      <w:tr w:rsidR="00AD2F71" w14:paraId="6D91DE34" w14:textId="77777777">
        <w:trPr>
          <w:jc w:val="center"/>
        </w:trPr>
        <w:tc>
          <w:tcPr>
            <w:tcW w:w="2448" w:type="dxa"/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7B248A" w14:paraId="1B2609DE" w14:textId="77777777">
            <w:r>
              <w:t>Primary contact</w:t>
            </w:r>
          </w:p>
        </w:tc>
        <w:tc>
          <w:tcPr>
            <w:tcW w:w="7344" w:type="dxa"/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7B248A" w14:paraId="1D55545B" w14:textId="77777777">
            <w:r>
              <w:t>Jordan Lee, Director of Procurement</w:t>
            </w:r>
          </w:p>
        </w:tc>
      </w:tr>
      <w:tr w:rsidR="00AD2F71" w14:paraId="194AC216" w14:textId="77777777">
        <w:trPr>
          <w:jc w:val="center"/>
        </w:trPr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7B248A" w14:paraId="1006651C" w14:textId="77777777">
            <w:r>
              <w:t>Territory / owner</w:t>
            </w:r>
          </w:p>
        </w:tc>
        <w:tc>
          <w:tcPr>
            <w:tcW w:w="73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7B248A" w14:paraId="60618C28" w14:textId="77777777">
            <w:r>
              <w:t>Mid-Atlantic / Whitney Murphy</w:t>
            </w:r>
          </w:p>
        </w:tc>
      </w:tr>
      <w:tr w:rsidR="00AD2F71" w14:paraId="2B674E90" w14:textId="77777777">
        <w:trPr>
          <w:jc w:val="center"/>
        </w:trPr>
        <w:tc>
          <w:tcPr>
            <w:tcW w:w="2448" w:type="dxa"/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7B248A" w14:paraId="64047A84" w14:textId="77777777">
            <w:r>
              <w:t>Funding context</w:t>
            </w:r>
          </w:p>
        </w:tc>
        <w:tc>
          <w:tcPr>
            <w:tcW w:w="7344" w:type="dxa"/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7B248A" w14:paraId="1ADD0075" w14:textId="77777777">
            <w:r>
              <w:t>Pennsylvania PASS eligible; current-year funding expires June 30</w:t>
            </w:r>
          </w:p>
        </w:tc>
      </w:tr>
      <w:tr w:rsidR="00AD2F71" w14:paraId="3BDC31CA" w14:textId="77777777">
        <w:trPr>
          <w:jc w:val="center"/>
        </w:trPr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7B248A" w14:paraId="353DBDC9" w14:textId="77777777">
            <w:r>
              <w:t>Product</w:t>
            </w:r>
          </w:p>
        </w:tc>
        <w:tc>
          <w:tcPr>
            <w:tcW w:w="73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7B248A" w14:paraId="1CA688D6" w14:textId="77777777">
            <w:r>
              <w:t>Large cage-free eggs</w:t>
            </w:r>
          </w:p>
        </w:tc>
      </w:tr>
      <w:tr w:rsidR="00AD2F71" w14:paraId="3324FA10" w14:textId="77777777">
        <w:trPr>
          <w:jc w:val="center"/>
        </w:trPr>
        <w:tc>
          <w:tcPr>
            <w:tcW w:w="2448" w:type="dxa"/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7B248A" w14:paraId="096EE721" w14:textId="77777777">
            <w:r>
              <w:t>Requested quantity</w:t>
            </w:r>
          </w:p>
        </w:tc>
        <w:tc>
          <w:tcPr>
            <w:tcW w:w="7344" w:type="dxa"/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7B248A" w14:paraId="7EA5A12B" w14:textId="77777777">
            <w:r>
              <w:t>18 pallets / 16,200 dozen</w:t>
            </w:r>
          </w:p>
        </w:tc>
      </w:tr>
      <w:tr w:rsidR="00AD2F71" w14:paraId="49612607" w14:textId="77777777">
        <w:trPr>
          <w:jc w:val="center"/>
        </w:trPr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7B248A" w14:paraId="2C9A1300" w14:textId="77777777">
            <w:r>
              <w:t>Supplier cost</w:t>
            </w:r>
          </w:p>
        </w:tc>
        <w:tc>
          <w:tcPr>
            <w:tcW w:w="73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7B248A" w14:paraId="2DD7C303" w14:textId="77777777">
            <w:r>
              <w:t>$1.36 per dozen</w:t>
            </w:r>
          </w:p>
        </w:tc>
      </w:tr>
      <w:tr w:rsidR="00AD2F71" w14:paraId="4AA7A4ED" w14:textId="77777777">
        <w:trPr>
          <w:jc w:val="center"/>
        </w:trPr>
        <w:tc>
          <w:tcPr>
            <w:tcW w:w="2448" w:type="dxa"/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7B248A" w14:paraId="2EFCAF83" w14:textId="77777777">
            <w:r>
              <w:t>Operating margin target</w:t>
            </w:r>
          </w:p>
        </w:tc>
        <w:tc>
          <w:tcPr>
            <w:tcW w:w="7344" w:type="dxa"/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7B248A" w14:paraId="2EE60DAE" w14:textId="77777777">
            <w:r>
              <w:t>$0.05 per dozen</w:t>
            </w:r>
          </w:p>
        </w:tc>
      </w:tr>
      <w:tr w:rsidR="00AD2F71" w14:paraId="0C6BEED1" w14:textId="77777777">
        <w:trPr>
          <w:jc w:val="center"/>
        </w:trPr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7B248A" w14:paraId="1C6EF456" w14:textId="77777777">
            <w:r>
              <w:t>Origin</w:t>
            </w:r>
          </w:p>
        </w:tc>
        <w:tc>
          <w:tcPr>
            <w:tcW w:w="73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7B248A" w14:paraId="67A051B8" w14:textId="77777777">
            <w:r>
              <w:t>Lancaster, Pennsylvania</w:t>
            </w:r>
          </w:p>
        </w:tc>
      </w:tr>
      <w:tr w:rsidR="00AD2F71" w14:paraId="17A68D33" w14:textId="77777777">
        <w:trPr>
          <w:jc w:val="center"/>
        </w:trPr>
        <w:tc>
          <w:tcPr>
            <w:tcW w:w="2448" w:type="dxa"/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7B248A" w14:paraId="23B57BC7" w14:textId="77777777">
            <w:r>
              <w:t>Destination 1</w:t>
            </w:r>
          </w:p>
        </w:tc>
        <w:tc>
          <w:tcPr>
            <w:tcW w:w="7344" w:type="dxa"/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7B248A" w14:paraId="045A4F72" w14:textId="77777777">
            <w:r>
              <w:t>Harrisburg, Pennsylvania — 12 pallets</w:t>
            </w:r>
          </w:p>
        </w:tc>
      </w:tr>
      <w:tr w:rsidR="00AD2F71" w14:paraId="240025E5" w14:textId="77777777">
        <w:trPr>
          <w:jc w:val="center"/>
        </w:trPr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7B248A" w14:paraId="6B83ADA0" w14:textId="77777777">
            <w:r>
              <w:t>Destination 2</w:t>
            </w:r>
          </w:p>
        </w:tc>
        <w:tc>
          <w:tcPr>
            <w:tcW w:w="73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7B248A" w14:paraId="35A8B3A2" w14:textId="77777777">
            <w:r>
              <w:t>Chester County, Pennsylvania — 6 pallets</w:t>
            </w:r>
          </w:p>
        </w:tc>
      </w:tr>
      <w:tr w:rsidR="00AD2F71" w14:paraId="5CEBC530" w14:textId="77777777">
        <w:trPr>
          <w:jc w:val="center"/>
        </w:trPr>
        <w:tc>
          <w:tcPr>
            <w:tcW w:w="2448" w:type="dxa"/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7B248A" w14:paraId="34BA8614" w14:textId="77777777">
            <w:r>
              <w:t>Requested delivery window</w:t>
            </w:r>
          </w:p>
        </w:tc>
        <w:tc>
          <w:tcPr>
            <w:tcW w:w="7344" w:type="dxa"/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7B248A" w14:paraId="72B67678" w14:textId="77777777">
            <w:r>
              <w:t>Tuesday, 8:00 AM–2:00 PM</w:t>
            </w:r>
          </w:p>
        </w:tc>
      </w:tr>
      <w:tr w:rsidR="00AD2F71" w14:paraId="7119B4D2" w14:textId="77777777">
        <w:trPr>
          <w:jc w:val="center"/>
        </w:trPr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7B248A" w14:paraId="5BF8BC58" w14:textId="77777777">
            <w:r>
              <w:t>TMS freight estimate</w:t>
            </w:r>
          </w:p>
        </w:tc>
        <w:tc>
          <w:tcPr>
            <w:tcW w:w="73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7B248A" w14:paraId="705E6A1C" w14:textId="77777777">
            <w:r>
              <w:t>$1,550 consolidated refrigerated full truckload</w:t>
            </w:r>
          </w:p>
        </w:tc>
      </w:tr>
      <w:tr w:rsidR="00AD2F71" w14:paraId="4DCBEC74" w14:textId="77777777">
        <w:trPr>
          <w:jc w:val="center"/>
        </w:trPr>
        <w:tc>
          <w:tcPr>
            <w:tcW w:w="2448" w:type="dxa"/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7B248A" w14:paraId="023AD7DA" w14:textId="77777777">
            <w:r>
              <w:t>Temperature requirement</w:t>
            </w:r>
          </w:p>
        </w:tc>
        <w:tc>
          <w:tcPr>
            <w:tcW w:w="7344" w:type="dxa"/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7B248A" w14:paraId="2677678A" w14:textId="77777777">
            <w:r>
              <w:t>Refrigerated; vendor should show configurable handling instructions</w:t>
            </w:r>
          </w:p>
        </w:tc>
      </w:tr>
      <w:tr w:rsidR="00AD2F71" w14:paraId="3FB83D42" w14:textId="77777777">
        <w:trPr>
          <w:jc w:val="center"/>
        </w:trPr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7B248A" w14:paraId="233B0E63" w14:textId="77777777">
            <w:r>
              <w:t>Customer PO</w:t>
            </w:r>
          </w:p>
        </w:tc>
        <w:tc>
          <w:tcPr>
            <w:tcW w:w="73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7B248A" w14:paraId="2BA3A330" w14:textId="77777777">
            <w:r>
              <w:t>CPFB-0726-1842</w:t>
            </w:r>
          </w:p>
        </w:tc>
      </w:tr>
      <w:tr w:rsidR="00AD2F71" w14:paraId="201A0167" w14:textId="77777777">
        <w:trPr>
          <w:jc w:val="center"/>
        </w:trPr>
        <w:tc>
          <w:tcPr>
            <w:tcW w:w="2448" w:type="dxa"/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7B248A" w14:paraId="1A12D822" w14:textId="77777777">
            <w:r>
              <w:t>Execution exception</w:t>
            </w:r>
          </w:p>
        </w:tc>
        <w:tc>
          <w:tcPr>
            <w:tcW w:w="7344" w:type="dxa"/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7B248A" w14:paraId="5FFA4AF2" w14:textId="77777777">
            <w:r>
              <w:t>Carrier reports a four-hour delay and revised ETA</w:t>
            </w:r>
          </w:p>
        </w:tc>
      </w:tr>
      <w:tr w:rsidR="00AD2F71" w14:paraId="671FE6D4" w14:textId="77777777">
        <w:trPr>
          <w:jc w:val="center"/>
        </w:trPr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7B248A" w14:paraId="20B49DF1" w14:textId="77777777">
            <w:r>
              <w:t>Delivery outcome</w:t>
            </w:r>
          </w:p>
        </w:tc>
        <w:tc>
          <w:tcPr>
            <w:tcW w:w="73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7B248A" w14:paraId="4C1BF201" w14:textId="77777777">
            <w:r>
              <w:t>17 pallets delivered; one pallet rejected for damage</w:t>
            </w:r>
          </w:p>
        </w:tc>
      </w:tr>
      <w:tr w:rsidR="00AD2F71" w14:paraId="2D37557E" w14:textId="77777777">
        <w:trPr>
          <w:jc w:val="center"/>
        </w:trPr>
        <w:tc>
          <w:tcPr>
            <w:tcW w:w="2448" w:type="dxa"/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7B248A" w14:paraId="4DE74462" w14:textId="77777777">
            <w:r>
              <w:t>Finance handoff</w:t>
            </w:r>
          </w:p>
        </w:tc>
        <w:tc>
          <w:tcPr>
            <w:tcW w:w="7344" w:type="dxa"/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7B248A" w14:paraId="3C37369F" w14:textId="77777777">
            <w:r>
              <w:t>Order becomes invoice-ready after POD and quantity variance review</w:t>
            </w:r>
          </w:p>
        </w:tc>
      </w:tr>
    </w:tbl>
    <w:p w:rsidR="00AD2F71" w:rsidRDefault="00AD2F71" w14:paraId="3ED7938C" w14:textId="77777777">
      <w:pPr>
        <w:spacing w:after="0"/>
      </w:pPr>
    </w:p>
    <w:p w:rsidR="00AD2F71" w:rsidRDefault="005053BE" w14:paraId="6F44345A" w14:textId="362E880F">
      <w:pPr>
        <w:pStyle w:val="Heading1"/>
      </w:pPr>
      <w:r>
        <w:t>120-minute agenda</w:t>
      </w:r>
    </w:p>
    <w:tbl>
      <w:tblPr>
        <w:tblW w:w="0" w:type="auto"/>
        <w:jc w:val="center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fixed"/>
        <w:tblLook w:val="04A0" w:firstRow="1" w:lastRow="0" w:firstColumn="1" w:lastColumn="0" w:noHBand="0" w:noVBand="1"/>
      </w:tblPr>
      <w:tblGrid>
        <w:gridCol w:w="1296"/>
        <w:gridCol w:w="3240"/>
        <w:gridCol w:w="5400"/>
      </w:tblGrid>
      <w:tr w:rsidR="00AD2F71" w14:paraId="795B9EAB" w14:textId="77777777">
        <w:trPr>
          <w:tblHeader/>
          <w:jc w:val="center"/>
        </w:trPr>
        <w:tc>
          <w:tcPr>
            <w:tcW w:w="1296" w:type="dxa"/>
            <w:shd w:val="clear" w:color="auto" w:fill="0C62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7B248A" w14:paraId="26996060" w14:textId="77777777">
            <w:pPr>
              <w:jc w:val="center"/>
            </w:pPr>
            <w:r>
              <w:rPr>
                <w:b/>
                <w:color w:val="FFFFFF"/>
              </w:rPr>
              <w:t>Time</w:t>
            </w:r>
          </w:p>
        </w:tc>
        <w:tc>
          <w:tcPr>
            <w:tcW w:w="3240" w:type="dxa"/>
            <w:shd w:val="clear" w:color="auto" w:fill="0C62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7B248A" w14:paraId="65130A21" w14:textId="77777777">
            <w:pPr>
              <w:jc w:val="center"/>
            </w:pPr>
            <w:r>
              <w:rPr>
                <w:b/>
                <w:color w:val="FFFFFF"/>
              </w:rPr>
              <w:t>Segment</w:t>
            </w:r>
          </w:p>
        </w:tc>
        <w:tc>
          <w:tcPr>
            <w:tcW w:w="5400" w:type="dxa"/>
            <w:shd w:val="clear" w:color="auto" w:fill="0C62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7B248A" w14:paraId="26788A3A" w14:textId="77777777">
            <w:pPr>
              <w:jc w:val="center"/>
            </w:pPr>
            <w:r>
              <w:rPr>
                <w:b/>
                <w:color w:val="FFFFFF"/>
              </w:rPr>
              <w:t>Expected evidence</w:t>
            </w:r>
          </w:p>
        </w:tc>
      </w:tr>
      <w:tr w:rsidR="00AD2F71" w14:paraId="14FE5FD0" w14:textId="77777777">
        <w:trPr>
          <w:jc w:val="center"/>
        </w:trPr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7B248A" w14:paraId="4AE310E3" w14:textId="77777777">
            <w:r>
              <w:t>0:00–0:05</w:t>
            </w: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7B248A" w14:paraId="040BBD98" w14:textId="77777777">
            <w:r>
              <w:t>Introduction and architecture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7B248A" w14:paraId="51751DA0" w14:textId="77777777">
            <w:r>
              <w:t>Proposed modules, user roles, implementation partner, and system role.</w:t>
            </w:r>
          </w:p>
        </w:tc>
      </w:tr>
      <w:tr w:rsidR="00AD2F71" w14:paraId="59A86D3E" w14:textId="77777777">
        <w:trPr>
          <w:jc w:val="center"/>
        </w:trPr>
        <w:tc>
          <w:tcPr>
            <w:tcW w:w="1296" w:type="dxa"/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7B248A" w14:paraId="7DAE7C7C" w14:textId="794D348E">
            <w:r>
              <w:t>0:05–0:</w:t>
            </w:r>
            <w:r w:rsidR="00945168">
              <w:t>20</w:t>
            </w:r>
          </w:p>
        </w:tc>
        <w:tc>
          <w:tcPr>
            <w:tcW w:w="3240" w:type="dxa"/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7B248A" w14:paraId="29EA9DA8" w14:textId="77777777">
            <w:r>
              <w:t>Scenario 1 — account, territory, and opportunity</w:t>
            </w:r>
          </w:p>
        </w:tc>
        <w:tc>
          <w:tcPr>
            <w:tcW w:w="5400" w:type="dxa"/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7B248A" w14:paraId="28AEEC35" w14:textId="77777777">
            <w:r>
              <w:t>Customer 360, relationship history, funding, health, territory, tasks, and demand opportunity.</w:t>
            </w:r>
          </w:p>
        </w:tc>
      </w:tr>
      <w:tr w:rsidR="00AD2F71" w14:paraId="618302FD" w14:textId="77777777">
        <w:trPr>
          <w:jc w:val="center"/>
        </w:trPr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7B248A" w14:paraId="2D73C202" w14:textId="2029514B">
            <w:r>
              <w:t>0:</w:t>
            </w:r>
            <w:r w:rsidR="00945168">
              <w:t>20</w:t>
            </w:r>
            <w:r>
              <w:t>–0:</w:t>
            </w:r>
            <w:r w:rsidR="00945168">
              <w:t>4</w:t>
            </w:r>
            <w:r>
              <w:t>5</w:t>
            </w: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7B248A" w14:paraId="4CE6A270" w14:textId="77777777">
            <w:r>
              <w:t>Scenario 2 — delivered-price quote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7B248A" w14:paraId="46F2891D" w14:textId="77777777">
            <w:r>
              <w:t>Freight estimate request, pricing formula, margin, approval, versioning, and quote output.</w:t>
            </w:r>
          </w:p>
        </w:tc>
      </w:tr>
      <w:tr w:rsidR="00AD2F71" w14:paraId="0D2A4A45" w14:textId="77777777">
        <w:trPr>
          <w:jc w:val="center"/>
        </w:trPr>
        <w:tc>
          <w:tcPr>
            <w:tcW w:w="1296" w:type="dxa"/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7B248A" w14:paraId="7A167B80" w14:textId="7F22046C">
            <w:r>
              <w:t>0:</w:t>
            </w:r>
            <w:r w:rsidR="00945168">
              <w:t>4</w:t>
            </w:r>
            <w:r>
              <w:t>5–</w:t>
            </w:r>
            <w:r w:rsidR="00945168">
              <w:t>1</w:t>
            </w:r>
            <w:r>
              <w:t>:</w:t>
            </w:r>
            <w:r w:rsidR="00945168">
              <w:t>10</w:t>
            </w:r>
          </w:p>
        </w:tc>
        <w:tc>
          <w:tcPr>
            <w:tcW w:w="3240" w:type="dxa"/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7B248A" w14:paraId="4B8CC44D" w14:textId="77777777">
            <w:r>
              <w:t>Scenario 3 — customer PO to commercial order</w:t>
            </w:r>
          </w:p>
        </w:tc>
        <w:tc>
          <w:tcPr>
            <w:tcW w:w="5400" w:type="dxa"/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7B248A" w14:paraId="72539FE7" w14:textId="77777777">
            <w:r>
              <w:t>PO capture, validation, order creation, confirmation, two destinations, tasks, and order status.</w:t>
            </w:r>
          </w:p>
        </w:tc>
      </w:tr>
      <w:tr w:rsidR="00AD2F71" w14:paraId="29591ADF" w14:textId="77777777">
        <w:trPr>
          <w:jc w:val="center"/>
        </w:trPr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945168" w14:paraId="2A6FFB88" w14:textId="64AC5D39">
            <w:r>
              <w:t>1:</w:t>
            </w:r>
            <w:r w:rsidR="0067370C">
              <w:t>10</w:t>
            </w:r>
            <w:r>
              <w:t>–1:</w:t>
            </w:r>
            <w:r w:rsidR="0067370C">
              <w:t>30</w:t>
            </w: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7B248A" w14:paraId="2511484E" w14:textId="77777777">
            <w:r>
              <w:t>Scenario 4 — execution and exception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7B248A" w14:paraId="230F9F25" w14:textId="77777777">
            <w:r>
              <w:t>TMS handoff, status, delay alert, customer communication, POD, shortage/rejection, and invoice-ready status.</w:t>
            </w:r>
          </w:p>
        </w:tc>
      </w:tr>
      <w:tr w:rsidR="00AD2F71" w14:paraId="0BDC9282" w14:textId="77777777">
        <w:trPr>
          <w:jc w:val="center"/>
        </w:trPr>
        <w:tc>
          <w:tcPr>
            <w:tcW w:w="1296" w:type="dxa"/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7B248A" w14:paraId="5A689AFA" w14:textId="7AD8972A">
            <w:r>
              <w:t>1:</w:t>
            </w:r>
            <w:r w:rsidR="0067370C">
              <w:t>30</w:t>
            </w:r>
            <w:r>
              <w:t>–1:</w:t>
            </w:r>
            <w:r w:rsidR="0067370C">
              <w:t>40</w:t>
            </w:r>
          </w:p>
        </w:tc>
        <w:tc>
          <w:tcPr>
            <w:tcW w:w="3240" w:type="dxa"/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7B248A" w14:paraId="7A0E4AF9" w14:textId="77777777">
            <w:r>
              <w:t>Scenario 5 — marketing, reporting, and administration</w:t>
            </w:r>
          </w:p>
        </w:tc>
        <w:tc>
          <w:tcPr>
            <w:tcW w:w="5400" w:type="dxa"/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7B248A" w14:paraId="115F30B7" w14:textId="77777777">
            <w:r>
              <w:t>Campaign source, account health, dashboards, workflow configuration, permissions, and audit history.</w:t>
            </w:r>
          </w:p>
        </w:tc>
      </w:tr>
      <w:tr w:rsidR="00AD2F71" w14:paraId="5FCE0343" w14:textId="77777777">
        <w:trPr>
          <w:jc w:val="center"/>
        </w:trPr>
        <w:tc>
          <w:tcPr>
            <w:tcW w:w="12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7B248A" w14:paraId="27ED3748" w14:textId="3B5A44FA">
            <w:r>
              <w:t>1:</w:t>
            </w:r>
            <w:r w:rsidR="004B2481">
              <w:t>40</w:t>
            </w:r>
            <w:r>
              <w:t>–1:</w:t>
            </w:r>
            <w:r w:rsidR="004B2481">
              <w:t>55</w:t>
            </w: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7B248A" w14:paraId="526E8585" w14:textId="77777777">
            <w:r>
              <w:t>Implementation and support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7B248A" w14:paraId="75051A47" w14:textId="77777777">
            <w:r>
              <w:t>Plan, team, HATCH effort, data migration, training, support, and risks.</w:t>
            </w:r>
          </w:p>
        </w:tc>
      </w:tr>
      <w:tr w:rsidR="00AD2F71" w14:paraId="7407DAD5" w14:textId="77777777">
        <w:trPr>
          <w:jc w:val="center"/>
        </w:trPr>
        <w:tc>
          <w:tcPr>
            <w:tcW w:w="1296" w:type="dxa"/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7B248A" w14:paraId="7D6009B6" w14:textId="44CBA927">
            <w:r>
              <w:t>1:</w:t>
            </w:r>
            <w:r w:rsidR="004B2481">
              <w:t>55</w:t>
            </w:r>
            <w:r>
              <w:t>–</w:t>
            </w:r>
            <w:r w:rsidR="004B2481">
              <w:t>2</w:t>
            </w:r>
            <w:r>
              <w:t>:</w:t>
            </w:r>
            <w:r w:rsidR="004B2481">
              <w:t>0</w:t>
            </w:r>
            <w:r>
              <w:t>0</w:t>
            </w:r>
          </w:p>
        </w:tc>
        <w:tc>
          <w:tcPr>
            <w:tcW w:w="3240" w:type="dxa"/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7B248A" w14:paraId="68618C4B" w14:textId="77777777">
            <w:r>
              <w:t>Evaluator questions</w:t>
            </w:r>
          </w:p>
        </w:tc>
        <w:tc>
          <w:tcPr>
            <w:tcW w:w="5400" w:type="dxa"/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7B248A" w14:paraId="014FF8C9" w14:textId="77777777">
            <w:r>
              <w:t>Targeted follow-ups and unresolved requirements.</w:t>
            </w:r>
          </w:p>
        </w:tc>
      </w:tr>
    </w:tbl>
    <w:p w:rsidR="00AD2F71" w:rsidRDefault="00AD2F71" w14:paraId="6C6316D6" w14:textId="77777777">
      <w:pPr>
        <w:spacing w:after="0"/>
      </w:pPr>
    </w:p>
    <w:p w:rsidR="00AD2F71" w:rsidRDefault="007B248A" w14:paraId="3070060E" w14:textId="77777777">
      <w:pPr>
        <w:pStyle w:val="Heading1"/>
      </w:pPr>
      <w:r>
        <w:t>Scenario 1 — Build the customer and qualify demand</w:t>
      </w:r>
    </w:p>
    <w:p w:rsidR="00AD2F71" w:rsidRDefault="007B248A" w14:paraId="54A519BB" w14:textId="77777777">
      <w:pPr>
        <w:spacing w:after="60"/>
      </w:pPr>
      <w:r>
        <w:rPr>
          <w:b/>
          <w:color w:val="0C62FB"/>
        </w:rPr>
        <w:t xml:space="preserve">1. </w:t>
      </w:r>
      <w:r>
        <w:t>Open the Central Pennsylvania Food Bank account and show contacts, territory ownership, relationship history, product preferences, funding notes, delivery locations, open orders, and account health.</w:t>
      </w:r>
    </w:p>
    <w:p w:rsidR="00AD2F71" w:rsidRDefault="007B248A" w14:paraId="5CD9022F" w14:textId="77777777">
      <w:pPr>
        <w:spacing w:after="60"/>
      </w:pPr>
      <w:r>
        <w:rPr>
          <w:b/>
          <w:color w:val="0C62FB"/>
        </w:rPr>
        <w:t xml:space="preserve">2. </w:t>
      </w:r>
      <w:r>
        <w:t>Create a new demand opportunity for 18 pallets of large cage-free eggs, requested for the following week.</w:t>
      </w:r>
    </w:p>
    <w:p w:rsidR="00AD2F71" w:rsidRDefault="007B248A" w14:paraId="0C35AA75" w14:textId="77777777">
      <w:pPr>
        <w:spacing w:after="60"/>
      </w:pPr>
      <w:r>
        <w:rPr>
          <w:b/>
          <w:color w:val="0C62FB"/>
        </w:rPr>
        <w:t xml:space="preserve">3. </w:t>
      </w:r>
      <w:r>
        <w:t>Capture funding source, probability, expected order date, requested delivery window, next action, product and volume, and food bank capacity.</w:t>
      </w:r>
    </w:p>
    <w:p w:rsidR="00AD2F71" w:rsidRDefault="007B248A" w14:paraId="01D8F4C5" w14:textId="77777777">
      <w:pPr>
        <w:spacing w:after="60"/>
      </w:pPr>
      <w:r>
        <w:rPr>
          <w:b/>
          <w:color w:val="0C62FB"/>
        </w:rPr>
        <w:t xml:space="preserve">4. </w:t>
      </w:r>
      <w:r>
        <w:t>Assign the opportunity to the Mid-Atlantic territory and demonstrate reassignment or coverage backup without losing history.</w:t>
      </w:r>
    </w:p>
    <w:p w:rsidR="00AD2F71" w:rsidRDefault="007B248A" w14:paraId="7B32C7C2" w14:textId="77777777">
      <w:pPr>
        <w:spacing w:after="60"/>
      </w:pPr>
      <w:r>
        <w:rPr>
          <w:b/>
          <w:color w:val="0C62FB"/>
        </w:rPr>
        <w:t xml:space="preserve">5. </w:t>
      </w:r>
      <w:r>
        <w:t>Show how email, meeting notes, tasks, and next steps are captured with minimal seller effort.</w:t>
      </w:r>
    </w:p>
    <w:p w:rsidR="00AD2F71" w:rsidRDefault="007B248A" w14:paraId="66266566" w14:textId="77777777">
      <w:pPr>
        <w:spacing w:after="60"/>
      </w:pPr>
      <w:r>
        <w:rPr>
          <w:b/>
          <w:color w:val="0C62FB"/>
        </w:rPr>
        <w:t xml:space="preserve">6. </w:t>
      </w:r>
      <w:r>
        <w:t>Show pipeline and forecast impact at rep, territory, and organization level.</w:t>
      </w:r>
    </w:p>
    <w:p w:rsidR="00AD2F71" w:rsidRDefault="007B248A" w14:paraId="45775D68" w14:textId="77777777">
      <w:pPr>
        <w:pStyle w:val="Heading1"/>
      </w:pPr>
      <w:r>
        <w:t>Scenario 2 — Create and approve a delivered-price quote</w:t>
      </w:r>
    </w:p>
    <w:p w:rsidR="00AD2F71" w:rsidRDefault="007B248A" w14:paraId="0F473135" w14:textId="77777777">
      <w:pPr>
        <w:spacing w:after="60"/>
      </w:pPr>
      <w:r>
        <w:rPr>
          <w:b/>
          <w:color w:val="0C62FB"/>
        </w:rPr>
        <w:t xml:space="preserve">1. </w:t>
      </w:r>
      <w:r>
        <w:t>From the opportunity, create a delivered-price quote using supplier cost of $1.36 per dozen.</w:t>
      </w:r>
    </w:p>
    <w:p w:rsidR="00AD2F71" w:rsidRDefault="007B248A" w14:paraId="39376A3D" w14:textId="77777777">
      <w:pPr>
        <w:spacing w:after="60"/>
      </w:pPr>
      <w:r>
        <w:rPr>
          <w:b/>
          <w:color w:val="0C62FB"/>
        </w:rPr>
        <w:t xml:space="preserve">2. </w:t>
      </w:r>
      <w:r>
        <w:t>Request or simulate a real-time freight estimate from the TMS for a consolidated two-stop refrigerated move totaling $1,550.</w:t>
      </w:r>
    </w:p>
    <w:p w:rsidR="00AD2F71" w:rsidRDefault="007B248A" w14:paraId="1DF3718A" w14:textId="77777777">
      <w:pPr>
        <w:spacing w:after="60"/>
      </w:pPr>
      <w:r>
        <w:rPr>
          <w:b/>
          <w:color w:val="0C62FB"/>
        </w:rPr>
        <w:t xml:space="preserve">3. </w:t>
      </w:r>
      <w:r>
        <w:t>Allocate freight across 16,200 dozen and add the $0.05 per dozen operating margin.</w:t>
      </w:r>
    </w:p>
    <w:p w:rsidR="00AD2F71" w:rsidRDefault="007B248A" w14:paraId="1F578AA2" w14:textId="77777777">
      <w:pPr>
        <w:spacing w:after="60"/>
      </w:pPr>
      <w:r>
        <w:rPr>
          <w:b/>
          <w:color w:val="0C62FB"/>
        </w:rPr>
        <w:t xml:space="preserve">4. </w:t>
      </w:r>
      <w:r>
        <w:t>Show calculated delivered price, total order value, margin dollars, and margin percentage.</w:t>
      </w:r>
    </w:p>
    <w:p w:rsidR="00AD2F71" w:rsidRDefault="007B248A" w14:paraId="7C6E37F9" w14:textId="77777777">
      <w:pPr>
        <w:spacing w:after="60"/>
      </w:pPr>
      <w:r>
        <w:rPr>
          <w:b/>
          <w:color w:val="0C62FB"/>
        </w:rPr>
        <w:t xml:space="preserve">5. </w:t>
      </w:r>
      <w:r>
        <w:t>Trigger an approval because the margin is below a configurable threshold, then approve using a manager role.</w:t>
      </w:r>
    </w:p>
    <w:p w:rsidR="00AD2F71" w:rsidRDefault="007B248A" w14:paraId="2B664478" w14:textId="77777777">
      <w:pPr>
        <w:spacing w:after="60"/>
      </w:pPr>
      <w:r>
        <w:rPr>
          <w:b/>
          <w:color w:val="0C62FB"/>
        </w:rPr>
        <w:t xml:space="preserve">6. </w:t>
      </w:r>
      <w:r>
        <w:t>Generate a customer-ready quote and email or log the communication.</w:t>
      </w:r>
    </w:p>
    <w:p w:rsidR="00AD2F71" w:rsidRDefault="007B248A" w14:paraId="0D5D708F" w14:textId="77777777">
      <w:pPr>
        <w:spacing w:after="60"/>
      </w:pPr>
      <w:r>
        <w:rPr>
          <w:b/>
          <w:color w:val="0C62FB"/>
        </w:rPr>
        <w:t xml:space="preserve">7. </w:t>
      </w:r>
      <w:r>
        <w:t>Revise the quote when the customer changes the split from 10/8 pallets to 12/6 pallets while preserving version history.</w:t>
      </w:r>
    </w:p>
    <w:p w:rsidR="00AD2F71" w:rsidRDefault="007B248A" w14:paraId="356170CE" w14:textId="77777777">
      <w:pPr>
        <w:pStyle w:val="Heading1"/>
      </w:pPr>
      <w:r>
        <w:t>Scenario 3 — Convert customer PO into a commercial order</w:t>
      </w:r>
    </w:p>
    <w:p w:rsidR="00AD2F71" w:rsidRDefault="007B248A" w14:paraId="7631720A" w14:textId="77777777">
      <w:pPr>
        <w:spacing w:after="60"/>
      </w:pPr>
      <w:r>
        <w:rPr>
          <w:b/>
          <w:color w:val="0C62FB"/>
        </w:rPr>
        <w:t xml:space="preserve">1. </w:t>
      </w:r>
      <w:r>
        <w:t>Capture customer PO CPFB-0726-1842 and validate it against the accepted quote.</w:t>
      </w:r>
    </w:p>
    <w:p w:rsidR="00AD2F71" w:rsidRDefault="007B248A" w14:paraId="61F0D65A" w14:textId="77777777">
      <w:pPr>
        <w:spacing w:after="60"/>
      </w:pPr>
      <w:r>
        <w:rPr>
          <w:b/>
          <w:color w:val="0C62FB"/>
        </w:rPr>
        <w:t xml:space="preserve">2. </w:t>
      </w:r>
      <w:r>
        <w:t>Demonstrate duplicate PO detection, missing-field validation, and unusual quantity or price warnings.</w:t>
      </w:r>
    </w:p>
    <w:p w:rsidR="00AD2F71" w:rsidRDefault="007B248A" w14:paraId="6F5C2A1C" w14:textId="77777777">
      <w:pPr>
        <w:spacing w:after="60"/>
      </w:pPr>
      <w:r>
        <w:rPr>
          <w:b/>
          <w:color w:val="0C62FB"/>
        </w:rPr>
        <w:t xml:space="preserve">3. </w:t>
      </w:r>
      <w:r>
        <w:t>Create the commercial order without rekeying quote data.</w:t>
      </w:r>
    </w:p>
    <w:p w:rsidR="00AD2F71" w:rsidRDefault="007B248A" w14:paraId="3DC87832" w14:textId="77777777">
      <w:pPr>
        <w:spacing w:after="60"/>
      </w:pPr>
      <w:r>
        <w:rPr>
          <w:b/>
          <w:color w:val="0C62FB"/>
        </w:rPr>
        <w:t xml:space="preserve">4. </w:t>
      </w:r>
      <w:r>
        <w:t>Show two delivery destinations or split-order structure while preserving one customer-facing commercial relationship.</w:t>
      </w:r>
    </w:p>
    <w:p w:rsidR="00AD2F71" w:rsidRDefault="007B248A" w14:paraId="4EB7F21A" w14:textId="77777777">
      <w:pPr>
        <w:spacing w:after="60"/>
      </w:pPr>
      <w:r>
        <w:rPr>
          <w:b/>
          <w:color w:val="0C62FB"/>
        </w:rPr>
        <w:t xml:space="preserve">5. </w:t>
      </w:r>
      <w:r>
        <w:t>Generate customer order confirmation and internal tasks for supply confirmation, transportation release, and finance visibility.</w:t>
      </w:r>
    </w:p>
    <w:p w:rsidR="00AD2F71" w:rsidRDefault="007B248A" w14:paraId="01CFA46B" w14:textId="77777777">
      <w:pPr>
        <w:spacing w:after="60"/>
      </w:pPr>
      <w:r>
        <w:rPr>
          <w:b/>
          <w:color w:val="0C62FB"/>
        </w:rPr>
        <w:t xml:space="preserve">6. </w:t>
      </w:r>
      <w:r>
        <w:t>Demonstrate order changes, cancellation, approval, and audit history.</w:t>
      </w:r>
    </w:p>
    <w:p w:rsidR="00AD2F71" w:rsidRDefault="007B248A" w14:paraId="15E34F9A" w14:textId="77777777">
      <w:pPr>
        <w:spacing w:after="60"/>
      </w:pPr>
      <w:r>
        <w:rPr>
          <w:b/>
          <w:color w:val="0C62FB"/>
        </w:rPr>
        <w:t xml:space="preserve">7. </w:t>
      </w:r>
      <w:r>
        <w:t>Show a cross-functional order dashboard with pending, active, exception, delivered, and invoice-ready statuses.</w:t>
      </w:r>
    </w:p>
    <w:p w:rsidR="00AD2F71" w:rsidRDefault="007B248A" w14:paraId="4E9DF5AD" w14:textId="77777777">
      <w:pPr>
        <w:pStyle w:val="Heading1"/>
      </w:pPr>
      <w:r>
        <w:t>Scenario 4 — Orchestrate transportation events and resolve an exception</w:t>
      </w:r>
    </w:p>
    <w:p w:rsidR="00AD2F71" w:rsidRDefault="007B248A" w14:paraId="1CE6C49E" w14:textId="77777777">
      <w:pPr>
        <w:spacing w:after="60"/>
      </w:pPr>
      <w:r>
        <w:rPr>
          <w:b/>
          <w:color w:val="0C62FB"/>
        </w:rPr>
        <w:t xml:space="preserve">1. </w:t>
      </w:r>
      <w:r>
        <w:t>Release the order to the TMS with origin, destinations, product, quantity, temperature, dates, references, and special instructions.</w:t>
      </w:r>
    </w:p>
    <w:p w:rsidR="00AD2F71" w:rsidRDefault="007B248A" w14:paraId="5C11A1E9" w14:textId="77777777">
      <w:pPr>
        <w:spacing w:after="60"/>
      </w:pPr>
      <w:r>
        <w:rPr>
          <w:b/>
          <w:color w:val="0C62FB"/>
        </w:rPr>
        <w:t xml:space="preserve">2. </w:t>
      </w:r>
      <w:r>
        <w:t>Receive shipment ID, carrier, booked cost, pickup status, ETA, and tracking events back into the customer order.</w:t>
      </w:r>
    </w:p>
    <w:p w:rsidR="00AD2F71" w:rsidRDefault="007B248A" w14:paraId="2B7D508C" w14:textId="77777777">
      <w:pPr>
        <w:spacing w:after="60"/>
      </w:pPr>
      <w:r>
        <w:rPr>
          <w:b/>
          <w:color w:val="0C62FB"/>
        </w:rPr>
        <w:t xml:space="preserve">3. </w:t>
      </w:r>
      <w:r>
        <w:t>Process a four-hour delay event and show alert routing, internal ownership, customer communication, and timeline history.</w:t>
      </w:r>
    </w:p>
    <w:p w:rsidR="00AD2F71" w:rsidRDefault="007B248A" w14:paraId="0187C9BA" w14:textId="77777777">
      <w:pPr>
        <w:spacing w:after="60"/>
      </w:pPr>
      <w:r>
        <w:rPr>
          <w:b/>
          <w:color w:val="0C62FB"/>
        </w:rPr>
        <w:t xml:space="preserve">4. </w:t>
      </w:r>
      <w:r>
        <w:t>Receive POD and delivery details showing 17 pallets delivered and one pallet rejected for damage.</w:t>
      </w:r>
    </w:p>
    <w:p w:rsidR="00AD2F71" w:rsidRDefault="007B248A" w14:paraId="5152A741" w14:textId="77777777">
      <w:pPr>
        <w:spacing w:after="60"/>
      </w:pPr>
      <w:r>
        <w:rPr>
          <w:b/>
          <w:color w:val="0C62FB"/>
        </w:rPr>
        <w:t xml:space="preserve">5. </w:t>
      </w:r>
      <w:r>
        <w:t>Launch a quantity-variance exception workflow and revise invoice-ready quantity while preserving original order and shipment data.</w:t>
      </w:r>
    </w:p>
    <w:p w:rsidR="00AD2F71" w:rsidRDefault="007B248A" w14:paraId="6AE75BC7" w14:textId="77777777">
      <w:pPr>
        <w:spacing w:after="60"/>
      </w:pPr>
      <w:r>
        <w:rPr>
          <w:b/>
          <w:color w:val="0C62FB"/>
        </w:rPr>
        <w:t xml:space="preserve">6. </w:t>
      </w:r>
      <w:r>
        <w:t>Link POD and exception documents to the order and demonstrate the invoice-ready handoff to QuickBooks.</w:t>
      </w:r>
    </w:p>
    <w:p w:rsidR="00AD2F71" w:rsidRDefault="007B248A" w14:paraId="48B8CD90" w14:textId="77777777">
      <w:pPr>
        <w:spacing w:after="60"/>
      </w:pPr>
      <w:r>
        <w:rPr>
          <w:b/>
          <w:color w:val="0C62FB"/>
        </w:rPr>
        <w:t xml:space="preserve">7. </w:t>
      </w:r>
      <w:r>
        <w:t>Show what the seller, operations user, and finance user each see.</w:t>
      </w:r>
    </w:p>
    <w:p w:rsidR="00AD2F71" w:rsidRDefault="007B248A" w14:paraId="3CE9EE79" w14:textId="77777777">
      <w:pPr>
        <w:pStyle w:val="Heading1"/>
      </w:pPr>
      <w:r>
        <w:t>Scenario 5 — Connect engagement, insights, and administration</w:t>
      </w:r>
    </w:p>
    <w:p w:rsidR="00AD2F71" w:rsidRDefault="007B248A" w14:paraId="756E68BA" w14:textId="77777777">
      <w:pPr>
        <w:spacing w:after="60"/>
      </w:pPr>
      <w:r>
        <w:rPr>
          <w:b/>
          <w:color w:val="0C62FB"/>
        </w:rPr>
        <w:t xml:space="preserve">1. </w:t>
      </w:r>
      <w:r>
        <w:t>Show how a marketing campaign or lead source can be connected to the account, opportunity, and resulting order through integration with HubSpot or another marketing platform.</w:t>
      </w:r>
    </w:p>
    <w:p w:rsidR="00AD2F71" w:rsidRDefault="007B248A" w14:paraId="27B4A06E" w14:textId="77777777">
      <w:pPr>
        <w:spacing w:after="60"/>
      </w:pPr>
      <w:r>
        <w:rPr>
          <w:b/>
          <w:color w:val="0C62FB"/>
        </w:rPr>
        <w:t xml:space="preserve">2. </w:t>
      </w:r>
      <w:r>
        <w:t>Show dashboards for pipeline, forecast, account health, quote conversion, open orders, order exceptions, margin, and user adoption.</w:t>
      </w:r>
    </w:p>
    <w:p w:rsidR="00AD2F71" w:rsidRDefault="007B248A" w14:paraId="577B7559" w14:textId="77777777">
      <w:pPr>
        <w:spacing w:after="60"/>
      </w:pPr>
      <w:r>
        <w:rPr>
          <w:b/>
          <w:color w:val="0C62FB"/>
        </w:rPr>
        <w:t xml:space="preserve">3. </w:t>
      </w:r>
      <w:r>
        <w:t>Demonstrate configurable alert or workflow changes by a trained business administrator without custom code.</w:t>
      </w:r>
    </w:p>
    <w:p w:rsidR="00AD2F71" w:rsidRDefault="007B248A" w14:paraId="3651CBEC" w14:textId="77777777">
      <w:pPr>
        <w:spacing w:after="60"/>
      </w:pPr>
      <w:r>
        <w:rPr>
          <w:b/>
          <w:color w:val="0C62FB"/>
        </w:rPr>
        <w:t xml:space="preserve">4. </w:t>
      </w:r>
      <w:r>
        <w:t>Show role-based permissions by territory and function, and audit history for changes to price, quantity, margin, PO, and order status.</w:t>
      </w:r>
    </w:p>
    <w:p w:rsidR="00AD2F71" w:rsidRDefault="007B248A" w14:paraId="7B08E87C" w14:textId="77777777">
      <w:pPr>
        <w:spacing w:after="60"/>
      </w:pPr>
      <w:r>
        <w:rPr>
          <w:b/>
          <w:color w:val="0C62FB"/>
        </w:rPr>
        <w:t xml:space="preserve">5. </w:t>
      </w:r>
      <w:r>
        <w:t>Demonstrate data export, API access, or Power BI connectivity.</w:t>
      </w:r>
    </w:p>
    <w:p w:rsidR="00AD2F71" w:rsidRDefault="007B248A" w14:paraId="6070FE2C" w14:textId="77777777">
      <w:pPr>
        <w:pStyle w:val="Heading1"/>
      </w:pPr>
      <w:r>
        <w:t>Demo scoring sheet</w:t>
      </w:r>
    </w:p>
    <w:tbl>
      <w:tblPr>
        <w:tblW w:w="0" w:type="auto"/>
        <w:jc w:val="center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fixed"/>
        <w:tblLook w:val="04A0" w:firstRow="1" w:lastRow="0" w:firstColumn="1" w:lastColumn="0" w:noHBand="0" w:noVBand="1"/>
      </w:tblPr>
      <w:tblGrid>
        <w:gridCol w:w="4032"/>
        <w:gridCol w:w="1152"/>
        <w:gridCol w:w="4608"/>
      </w:tblGrid>
      <w:tr w:rsidR="00AD2F71" w14:paraId="0110A78E" w14:textId="77777777">
        <w:trPr>
          <w:tblHeader/>
          <w:jc w:val="center"/>
        </w:trPr>
        <w:tc>
          <w:tcPr>
            <w:tcW w:w="4032" w:type="dxa"/>
            <w:shd w:val="clear" w:color="auto" w:fill="0C62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7B248A" w14:paraId="69D3B69F" w14:textId="77777777">
            <w:pPr>
              <w:jc w:val="center"/>
            </w:pPr>
            <w:r>
              <w:rPr>
                <w:b/>
                <w:color w:val="FFFFFF"/>
              </w:rPr>
              <w:t>Category</w:t>
            </w:r>
          </w:p>
        </w:tc>
        <w:tc>
          <w:tcPr>
            <w:tcW w:w="1152" w:type="dxa"/>
            <w:shd w:val="clear" w:color="auto" w:fill="0C62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7B248A" w14:paraId="7A11ED64" w14:textId="77777777">
            <w:pPr>
              <w:jc w:val="center"/>
            </w:pPr>
            <w:r>
              <w:rPr>
                <w:b/>
                <w:color w:val="FFFFFF"/>
              </w:rPr>
              <w:t>Weight</w:t>
            </w:r>
          </w:p>
        </w:tc>
        <w:tc>
          <w:tcPr>
            <w:tcW w:w="4608" w:type="dxa"/>
            <w:shd w:val="clear" w:color="auto" w:fill="0C62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7B248A" w14:paraId="1CCD0A4B" w14:textId="77777777">
            <w:pPr>
              <w:jc w:val="center"/>
            </w:pPr>
            <w:r>
              <w:rPr>
                <w:b/>
                <w:color w:val="FFFFFF"/>
              </w:rPr>
              <w:t>Evaluator notes</w:t>
            </w:r>
          </w:p>
        </w:tc>
      </w:tr>
      <w:tr w:rsidR="00AD2F71" w14:paraId="69EBF344" w14:textId="77777777">
        <w:trPr>
          <w:jc w:val="center"/>
        </w:trPr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2500DD" w14:paraId="76F8B0EC" w14:textId="2BA321E5">
            <w:r>
              <w:t>Scenario 1</w:t>
            </w: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7B248A" w14:paraId="3DA852BC" w14:textId="77777777">
            <w:r>
              <w:t>15%</w:t>
            </w:r>
          </w:p>
        </w:tc>
        <w:tc>
          <w:tcPr>
            <w:tcW w:w="4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AD2F71" w14:paraId="7D7AC531" w14:textId="77777777"/>
        </w:tc>
      </w:tr>
      <w:tr w:rsidR="00AD2F71" w14:paraId="49603111" w14:textId="77777777">
        <w:trPr>
          <w:jc w:val="center"/>
        </w:trPr>
        <w:tc>
          <w:tcPr>
            <w:tcW w:w="4032" w:type="dxa"/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2500DD" w14:paraId="1BE06B52" w14:textId="65006D99">
            <w:r>
              <w:t>Scenario 2</w:t>
            </w:r>
          </w:p>
        </w:tc>
        <w:tc>
          <w:tcPr>
            <w:tcW w:w="1152" w:type="dxa"/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7B248A" w14:paraId="0B81E6AF" w14:textId="77777777">
            <w:r>
              <w:t>20%</w:t>
            </w:r>
          </w:p>
        </w:tc>
        <w:tc>
          <w:tcPr>
            <w:tcW w:w="4608" w:type="dxa"/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AD2F71" w14:paraId="117B7C67" w14:textId="77777777"/>
        </w:tc>
      </w:tr>
      <w:tr w:rsidR="00AD2F71" w14:paraId="4211205B" w14:textId="77777777">
        <w:trPr>
          <w:jc w:val="center"/>
        </w:trPr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2500DD" w14:paraId="0A47351E" w14:textId="3D4EE7A7">
            <w:r>
              <w:t>Scenario 3</w:t>
            </w: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815B89" w14:paraId="68CD6E80" w14:textId="7638DD9D">
            <w:r>
              <w:t>15%</w:t>
            </w:r>
          </w:p>
        </w:tc>
        <w:tc>
          <w:tcPr>
            <w:tcW w:w="4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AD2F71" w14:paraId="2C1523F4" w14:textId="77777777"/>
        </w:tc>
      </w:tr>
      <w:tr w:rsidR="00AD2F71" w14:paraId="063C8296" w14:textId="77777777">
        <w:trPr>
          <w:jc w:val="center"/>
        </w:trPr>
        <w:tc>
          <w:tcPr>
            <w:tcW w:w="4032" w:type="dxa"/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2500DD" w14:paraId="26131F4C" w14:textId="47E9DF8A">
            <w:r>
              <w:t>Scenario 4</w:t>
            </w:r>
          </w:p>
        </w:tc>
        <w:tc>
          <w:tcPr>
            <w:tcW w:w="1152" w:type="dxa"/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815B89" w14:paraId="46A47117" w14:textId="0B26E048">
            <w:r>
              <w:t>20%</w:t>
            </w:r>
          </w:p>
        </w:tc>
        <w:tc>
          <w:tcPr>
            <w:tcW w:w="4608" w:type="dxa"/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AD2F71" w14:paraId="2D9347F6" w14:textId="77777777"/>
        </w:tc>
      </w:tr>
      <w:tr w:rsidR="00AD2F71" w14:paraId="0A6223D1" w14:textId="77777777">
        <w:trPr>
          <w:jc w:val="center"/>
        </w:trPr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2500DD" w14:paraId="5A6A5C47" w14:textId="55BB074F">
            <w:r>
              <w:t>Scenario 5</w:t>
            </w: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A92546" w14:paraId="3D62FAF1" w14:textId="57A65BDC">
            <w:r>
              <w:t>1</w:t>
            </w:r>
            <w:r w:rsidR="004B6991">
              <w:t>5</w:t>
            </w:r>
            <w:r w:rsidR="002D799E">
              <w:t>%</w:t>
            </w:r>
          </w:p>
        </w:tc>
        <w:tc>
          <w:tcPr>
            <w:tcW w:w="4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AD2F71" w14:paraId="1941BFA7" w14:textId="77777777"/>
        </w:tc>
      </w:tr>
      <w:tr w:rsidR="00AD2F71" w14:paraId="11389C7D" w14:textId="77777777">
        <w:trPr>
          <w:jc w:val="center"/>
        </w:trPr>
        <w:tc>
          <w:tcPr>
            <w:tcW w:w="4032" w:type="dxa"/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7B248A" w14:paraId="7204BA9A" w14:textId="1B17E655">
            <w:r>
              <w:t>Usability and workflow efficiency</w:t>
            </w:r>
          </w:p>
        </w:tc>
        <w:tc>
          <w:tcPr>
            <w:tcW w:w="1152" w:type="dxa"/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4B6991" w14:paraId="3A779032" w14:textId="241EE961">
            <w:r>
              <w:t>1</w:t>
            </w:r>
            <w:r w:rsidR="00A92546">
              <w:t>5</w:t>
            </w:r>
            <w:r w:rsidR="002D799E">
              <w:t>%</w:t>
            </w:r>
          </w:p>
        </w:tc>
        <w:tc>
          <w:tcPr>
            <w:tcW w:w="4608" w:type="dxa"/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AD2F71" w14:paraId="17E39786" w14:textId="77777777"/>
        </w:tc>
      </w:tr>
      <w:tr w:rsidR="00AD2F71" w14:paraId="24EF3C93" w14:textId="77777777">
        <w:trPr>
          <w:jc w:val="center"/>
        </w:trPr>
        <w:tc>
          <w:tcPr>
            <w:tcW w:w="4032" w:type="dxa"/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1C6DAD" w14:paraId="483F1E5D" w14:textId="2F1FCFD1">
            <w:r>
              <w:t>Overall fit</w:t>
            </w:r>
          </w:p>
        </w:tc>
        <w:tc>
          <w:tcPr>
            <w:tcW w:w="1152" w:type="dxa"/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2D799E" w14:paraId="387CA968" w14:textId="528C640A">
            <w:r>
              <w:t>5%</w:t>
            </w:r>
          </w:p>
        </w:tc>
        <w:tc>
          <w:tcPr>
            <w:tcW w:w="4608" w:type="dxa"/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D2F71" w:rsidRDefault="00AD2F71" w14:paraId="217BC988" w14:textId="77777777"/>
        </w:tc>
      </w:tr>
    </w:tbl>
    <w:p w:rsidR="00AD2F71" w:rsidRDefault="00AD2F71" w14:paraId="08F3A8E6" w14:textId="77777777">
      <w:pPr>
        <w:spacing w:after="0"/>
      </w:pPr>
    </w:p>
    <w:sectPr w:rsidR="00AD2F71" w:rsidSect="00034616">
      <w:headerReference w:type="default" r:id="rId8"/>
      <w:footerReference w:type="default" r:id="rId9"/>
      <w:pgSz w:w="12240" w:h="15840" w:orient="portrait"/>
      <w:pgMar w:top="936" w:right="1037" w:bottom="864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542E4" w:rsidRDefault="005542E4" w14:paraId="30437BC0" w14:textId="77777777">
      <w:pPr>
        <w:spacing w:after="0" w:line="240" w:lineRule="auto"/>
      </w:pPr>
      <w:r>
        <w:separator/>
      </w:r>
    </w:p>
  </w:endnote>
  <w:endnote w:type="continuationSeparator" w:id="0">
    <w:p w:rsidR="005542E4" w:rsidRDefault="005542E4" w14:paraId="1EB8B5C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2F71" w:rsidRDefault="007B248A" w14:paraId="51BF6763" w14:textId="7CEED638">
    <w:pPr>
      <w:pStyle w:val="Footer"/>
      <w:jc w:val="center"/>
    </w:pPr>
    <w:r>
      <w:rPr>
        <w:color w:val="4A4A4A"/>
        <w:sz w:val="14"/>
      </w:rPr>
      <w:t xml:space="preserve">Confidential — For Invited Vendor Evaluation Only   |   </w:t>
    </w:r>
    <w:r>
      <w:fldChar w:fldCharType="begin"/>
    </w:r>
    <w:r>
      <w:instrText>PAGE</w:instrText>
    </w:r>
    <w:r>
      <w:fldChar w:fldCharType="separate"/>
    </w:r>
    <w:r w:rsidR="0005175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542E4" w:rsidRDefault="005542E4" w14:paraId="5F5C2AD2" w14:textId="77777777">
      <w:pPr>
        <w:spacing w:after="0" w:line="240" w:lineRule="auto"/>
      </w:pPr>
      <w:r>
        <w:separator/>
      </w:r>
    </w:p>
  </w:footnote>
  <w:footnote w:type="continuationSeparator" w:id="0">
    <w:p w:rsidR="005542E4" w:rsidRDefault="005542E4" w14:paraId="5190A6D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AD2F71" w:rsidRDefault="007B248A" w14:paraId="6F4E6831" w14:textId="399AC846">
    <w:r w:rsidR="53EEC8FE">
      <w:drawing>
        <wp:anchor distT="0" distB="0" distL="114300" distR="114300" simplePos="0" relativeHeight="251658240" behindDoc="0" locked="0" layoutInCell="1" allowOverlap="1" wp14:editId="6B45025F" wp14:anchorId="5FCA0739">
          <wp:simplePos x="0" y="0"/>
          <wp:positionH relativeFrom="column">
            <wp:posOffset>4410075</wp:posOffset>
          </wp:positionH>
          <wp:positionV relativeFrom="paragraph">
            <wp:posOffset>-257175</wp:posOffset>
          </wp:positionV>
          <wp:extent cx="2514600" cy="426518"/>
          <wp:effectExtent l="0" t="0" r="0" b="0"/>
          <wp:wrapNone/>
          <wp:docPr id="1987979302" name="drawing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987979302" name="Picture 1987979302"/>
                  <pic:cNvPicPr/>
                </pic:nvPicPr>
                <pic:blipFill>
                  <a:blip xmlns:r="http://schemas.openxmlformats.org/officeDocument/2006/relationships" r:embed="rId2017320405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2514600" cy="42651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7D574AC2" w:rsidR="53EEC8FE">
      <w:rPr>
        <w:color w:val="123D8C"/>
        <w:sz w:val="16"/>
        <w:szCs w:val="16"/>
      </w:rPr>
      <w:t xml:space="preserve">HATCH for </w:t>
    </w:r>
    <w:r w:rsidRPr="7D574AC2" w:rsidR="53EEC8FE">
      <w:rPr>
        <w:color w:val="123D8C"/>
        <w:sz w:val="16"/>
        <w:szCs w:val="16"/>
      </w:rPr>
      <w:t>Hunger  |</w:t>
    </w:r>
    <w:r w:rsidRPr="7D574AC2" w:rsidR="53EEC8FE">
      <w:rPr>
        <w:color w:val="123D8C"/>
        <w:sz w:val="16"/>
        <w:szCs w:val="16"/>
      </w:rPr>
      <w:t xml:space="preserve">  CRM &amp; Order Orchestration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692604632">
    <w:abstractNumId w:val="8"/>
  </w:num>
  <w:num w:numId="2" w16cid:durableId="1205559959">
    <w:abstractNumId w:val="6"/>
  </w:num>
  <w:num w:numId="3" w16cid:durableId="1330911822">
    <w:abstractNumId w:val="5"/>
  </w:num>
  <w:num w:numId="4" w16cid:durableId="2113284407">
    <w:abstractNumId w:val="4"/>
  </w:num>
  <w:num w:numId="5" w16cid:durableId="1792893193">
    <w:abstractNumId w:val="7"/>
  </w:num>
  <w:num w:numId="6" w16cid:durableId="1376273439">
    <w:abstractNumId w:val="3"/>
  </w:num>
  <w:num w:numId="7" w16cid:durableId="1844660202">
    <w:abstractNumId w:val="2"/>
  </w:num>
  <w:num w:numId="8" w16cid:durableId="634871928">
    <w:abstractNumId w:val="1"/>
  </w:num>
  <w:num w:numId="9" w16cid:durableId="166011499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4B6F"/>
    <w:rsid w:val="00051750"/>
    <w:rsid w:val="0006063C"/>
    <w:rsid w:val="0009264B"/>
    <w:rsid w:val="0015074B"/>
    <w:rsid w:val="001C6DAD"/>
    <w:rsid w:val="002500DD"/>
    <w:rsid w:val="0029639D"/>
    <w:rsid w:val="002D799E"/>
    <w:rsid w:val="00326F90"/>
    <w:rsid w:val="00436851"/>
    <w:rsid w:val="004B2481"/>
    <w:rsid w:val="004B6991"/>
    <w:rsid w:val="005053BE"/>
    <w:rsid w:val="005060D1"/>
    <w:rsid w:val="005542E4"/>
    <w:rsid w:val="0067370C"/>
    <w:rsid w:val="00685917"/>
    <w:rsid w:val="006E31BD"/>
    <w:rsid w:val="007B248A"/>
    <w:rsid w:val="00802BB0"/>
    <w:rsid w:val="00815B89"/>
    <w:rsid w:val="008D25A9"/>
    <w:rsid w:val="00945168"/>
    <w:rsid w:val="00A92546"/>
    <w:rsid w:val="00AA1D8D"/>
    <w:rsid w:val="00AD2F71"/>
    <w:rsid w:val="00B47730"/>
    <w:rsid w:val="00C10E6A"/>
    <w:rsid w:val="00CB0664"/>
    <w:rsid w:val="00D54A80"/>
    <w:rsid w:val="00D96D5A"/>
    <w:rsid w:val="00F364B1"/>
    <w:rsid w:val="00FC3556"/>
    <w:rsid w:val="00FC693F"/>
    <w:rsid w:val="53EEC8FE"/>
    <w:rsid w:val="7D574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4658299-6B52-4DF3-AEE4-87DF2C6476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spacing w:after="100"/>
    </w:pPr>
    <w:rPr>
      <w:color w:val="333333"/>
      <w:sz w:val="21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b/>
      <w:bCs/>
      <w:color w:val="0C62F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color w:val="0C62FB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b/>
      <w:bCs/>
      <w:color w:val="0C62FB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b/>
      <w:color w:val="0C62FB"/>
      <w:spacing w:val="5"/>
      <w:kern w:val="28"/>
      <w:sz w:val="32"/>
      <w:szCs w:val="3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i/>
      <w:iCs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../customXml/item2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customXml" Target="../customXml/item4.xml" Id="rId14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.png" Id="rId201732040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F9F0268920B74EB0187D61F87B5836" ma:contentTypeVersion="7" ma:contentTypeDescription="Create a new document." ma:contentTypeScope="" ma:versionID="16764fdc57b0bbe764c871c99b6cee25">
  <xsd:schema xmlns:xsd="http://www.w3.org/2001/XMLSchema" xmlns:xs="http://www.w3.org/2001/XMLSchema" xmlns:p="http://schemas.microsoft.com/office/2006/metadata/properties" xmlns:ns2="26a0fb83-0107-4d85-aaa8-9267518519f0" targetNamespace="http://schemas.microsoft.com/office/2006/metadata/properties" ma:root="true" ma:fieldsID="5bf24f3dda2e82d5292666735fc15d7e" ns2:_="">
    <xsd:import namespace="26a0fb83-0107-4d85-aaa8-9267518519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a0fb83-0107-4d85-aaa8-9267518519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0B1EF29-C3F1-40CD-A02F-5A790A565224}"/>
</file>

<file path=customXml/itemProps3.xml><?xml version="1.0" encoding="utf-8"?>
<ds:datastoreItem xmlns:ds="http://schemas.openxmlformats.org/officeDocument/2006/customXml" ds:itemID="{A1F2DFBA-1CE6-45BD-AB60-4D290C4D04B5}"/>
</file>

<file path=customXml/itemProps4.xml><?xml version="1.0" encoding="utf-8"?>
<ds:datastoreItem xmlns:ds="http://schemas.openxmlformats.org/officeDocument/2006/customXml" ds:itemID="{26533B26-B8E4-4DBC-921B-8D0680126477}"/>
</file>

<file path=docMetadata/LabelInfo.xml><?xml version="1.0" encoding="utf-8"?>
<clbl:labelList xmlns:clbl="http://schemas.microsoft.com/office/2020/mipLabelMetadata">
  <clbl:label id="{9ca75128-a244-4596-877b-f24828e476e2}" enabled="0" method="" siteId="{9ca75128-a244-4596-877b-f24828e476e2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Mattessich</cp:lastModifiedBy>
  <cp:revision>7</cp:revision>
  <dcterms:created xsi:type="dcterms:W3CDTF">2026-07-23T17:41:00Z</dcterms:created>
  <dcterms:modified xsi:type="dcterms:W3CDTF">2026-07-27T19:29:13Z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0x01010007F9F0268920B74EB0187D61F87B5836</vt:lpwstr>
  </property>
  <property fmtid="{D5CDD505-2E9C-101B-9397-08002B2CF9AE}" pid="4" name="docLang">
    <vt:lpwstr>en</vt:lpwstr>
  </property>
</Properties>
</file>