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FAC0" w14:textId="77777777" w:rsidR="00117E66" w:rsidRDefault="00117E66" w:rsidP="00317401">
      <w:pPr>
        <w:ind w:left="720" w:hanging="360"/>
      </w:pPr>
    </w:p>
    <w:p w14:paraId="4277F177" w14:textId="5E6C41FD" w:rsidR="00117E66" w:rsidRPr="001301E1" w:rsidRDefault="00117E66" w:rsidP="00117E66">
      <w:pPr>
        <w:ind w:left="720" w:hanging="360"/>
        <w:jc w:val="center"/>
        <w:rPr>
          <w:b/>
          <w:bCs/>
          <w:sz w:val="28"/>
          <w:szCs w:val="28"/>
        </w:rPr>
      </w:pPr>
      <w:r w:rsidRPr="001301E1">
        <w:rPr>
          <w:b/>
          <w:bCs/>
          <w:sz w:val="28"/>
          <w:szCs w:val="28"/>
        </w:rPr>
        <w:t>Part 1</w:t>
      </w:r>
      <w:r>
        <w:rPr>
          <w:b/>
          <w:bCs/>
          <w:sz w:val="28"/>
          <w:szCs w:val="28"/>
        </w:rPr>
        <w:t>0</w:t>
      </w:r>
      <w:r w:rsidRPr="001301E1">
        <w:rPr>
          <w:b/>
          <w:bCs/>
          <w:sz w:val="28"/>
          <w:szCs w:val="28"/>
        </w:rPr>
        <w:t xml:space="preserve"> of the Report- </w:t>
      </w:r>
      <w:r>
        <w:rPr>
          <w:b/>
          <w:bCs/>
          <w:sz w:val="28"/>
          <w:szCs w:val="28"/>
        </w:rPr>
        <w:t>Business</w:t>
      </w:r>
    </w:p>
    <w:p w14:paraId="0E7739E6" w14:textId="77777777" w:rsidR="00117E66" w:rsidRDefault="00117E66" w:rsidP="00117E66">
      <w:pPr>
        <w:spacing w:after="0"/>
        <w:ind w:left="720" w:hanging="360"/>
        <w:contextualSpacing/>
      </w:pPr>
      <w:r>
        <w:t>The first input will always be:</w:t>
      </w:r>
    </w:p>
    <w:p w14:paraId="0EF4F3F7" w14:textId="77777777" w:rsidR="00117E66" w:rsidRDefault="00117E66" w:rsidP="00117E66">
      <w:pPr>
        <w:pStyle w:val="ListParagraph"/>
        <w:numPr>
          <w:ilvl w:val="0"/>
          <w:numId w:val="2"/>
        </w:numPr>
        <w:spacing w:after="0"/>
      </w:pPr>
      <w:r>
        <w:t>The Area Councils that have been affected by the Cyclone</w:t>
      </w:r>
    </w:p>
    <w:p w14:paraId="6640022D" w14:textId="77777777" w:rsidR="00117E66" w:rsidRDefault="00117E66" w:rsidP="00117E66">
      <w:pPr>
        <w:pStyle w:val="ListParagraph"/>
        <w:numPr>
          <w:ilvl w:val="0"/>
          <w:numId w:val="2"/>
        </w:numPr>
        <w:spacing w:after="0"/>
      </w:pPr>
      <w:r>
        <w:t>The Category of Cyclone for each Area Council</w:t>
      </w:r>
    </w:p>
    <w:p w14:paraId="40A06212" w14:textId="77777777" w:rsidR="00117E66" w:rsidRDefault="00117E66" w:rsidP="00117E66">
      <w:pPr>
        <w:pStyle w:val="ListParagraph"/>
        <w:numPr>
          <w:ilvl w:val="0"/>
          <w:numId w:val="2"/>
        </w:numPr>
        <w:spacing w:after="0"/>
      </w:pPr>
      <w:r>
        <w:t>The tables outlined below show every administrative boundary: National (Vanuatu), Province (</w:t>
      </w:r>
      <w:proofErr w:type="spellStart"/>
      <w:r>
        <w:t>Torba</w:t>
      </w:r>
      <w:proofErr w:type="spellEnd"/>
      <w:r>
        <w:t xml:space="preserve">, </w:t>
      </w:r>
      <w:proofErr w:type="spellStart"/>
      <w:r>
        <w:t>Sanma</w:t>
      </w:r>
      <w:proofErr w:type="spellEnd"/>
      <w:r>
        <w:t xml:space="preserve">, </w:t>
      </w:r>
      <w:proofErr w:type="spellStart"/>
      <w:r>
        <w:t>Penama</w:t>
      </w:r>
      <w:proofErr w:type="spellEnd"/>
      <w:r>
        <w:t xml:space="preserve">, </w:t>
      </w:r>
      <w:proofErr w:type="spellStart"/>
      <w:r>
        <w:t>Malampa</w:t>
      </w:r>
      <w:proofErr w:type="spellEnd"/>
      <w:r>
        <w:t xml:space="preserve">, Shefa, </w:t>
      </w:r>
      <w:proofErr w:type="spellStart"/>
      <w:r>
        <w:t>Tafea</w:t>
      </w:r>
      <w:proofErr w:type="spellEnd"/>
      <w:r>
        <w:t>), and the Area Councils underneath their Province. However, the report should show the National, and only the Provinces and Area Councils affected by Cyclone.</w:t>
      </w:r>
    </w:p>
    <w:p w14:paraId="63DF31B1" w14:textId="77777777" w:rsidR="00117E66" w:rsidRDefault="00117E66" w:rsidP="00117E66">
      <w:pPr>
        <w:spacing w:after="0"/>
      </w:pPr>
    </w:p>
    <w:p w14:paraId="04823563" w14:textId="77777777" w:rsidR="00117E66" w:rsidRDefault="00117E66" w:rsidP="00117E66">
      <w:pPr>
        <w:spacing w:after="0"/>
      </w:pPr>
      <w:r>
        <w:t>Analysis:</w:t>
      </w:r>
    </w:p>
    <w:p w14:paraId="1246C187" w14:textId="41C2561F" w:rsidR="00117E66" w:rsidRDefault="00117E66" w:rsidP="00117E66">
      <w:pPr>
        <w:pStyle w:val="ListParagraph"/>
        <w:numPr>
          <w:ilvl w:val="0"/>
          <w:numId w:val="3"/>
        </w:numPr>
        <w:spacing w:after="0"/>
      </w:pPr>
      <w:r>
        <w:t xml:space="preserve">The analysis is </w:t>
      </w:r>
      <w:r w:rsidR="00E3365B">
        <w:t>only one</w:t>
      </w:r>
      <w:r>
        <w:t xml:space="preserve"> step:</w:t>
      </w:r>
    </w:p>
    <w:p w14:paraId="3F7B121D" w14:textId="77777777" w:rsidR="00117E66" w:rsidRDefault="00117E66" w:rsidP="00117E66">
      <w:pPr>
        <w:pStyle w:val="ListParagraph"/>
        <w:numPr>
          <w:ilvl w:val="0"/>
          <w:numId w:val="4"/>
        </w:numPr>
        <w:spacing w:after="0"/>
      </w:pPr>
      <w:r>
        <w:t>Baseline</w:t>
      </w:r>
    </w:p>
    <w:p w14:paraId="67D8219F" w14:textId="77777777" w:rsidR="00117E66" w:rsidRDefault="00117E66" w:rsidP="00117E66">
      <w:pPr>
        <w:spacing w:after="0"/>
      </w:pPr>
    </w:p>
    <w:p w14:paraId="698EB4CA" w14:textId="77777777" w:rsidR="00117E66" w:rsidRDefault="00117E66" w:rsidP="00117E66">
      <w:pPr>
        <w:pStyle w:val="ListParagraph"/>
        <w:numPr>
          <w:ilvl w:val="0"/>
          <w:numId w:val="3"/>
        </w:numPr>
        <w:spacing w:after="0"/>
      </w:pPr>
      <w:r>
        <w:t>The analysis will be carried out at the Area Council level as the primary unit.</w:t>
      </w:r>
    </w:p>
    <w:p w14:paraId="22BA9608" w14:textId="77777777" w:rsidR="00117E66" w:rsidRDefault="00117E66" w:rsidP="00117E66">
      <w:pPr>
        <w:pStyle w:val="ListParagraph"/>
        <w:numPr>
          <w:ilvl w:val="0"/>
          <w:numId w:val="5"/>
        </w:numPr>
        <w:spacing w:after="0"/>
      </w:pPr>
      <w:r>
        <w:t>Provincial figures will be generated by summing the results of all Area Councils within each province.</w:t>
      </w:r>
    </w:p>
    <w:p w14:paraId="6B1A72EA" w14:textId="77777777" w:rsidR="00117E66" w:rsidRDefault="00117E66" w:rsidP="00117E66">
      <w:pPr>
        <w:pStyle w:val="ListParagraph"/>
        <w:numPr>
          <w:ilvl w:val="0"/>
          <w:numId w:val="5"/>
        </w:numPr>
        <w:spacing w:after="0"/>
      </w:pPr>
      <w:r>
        <w:t>National figures (Vanuatu) will then be produced by summing the results across all provinces.</w:t>
      </w:r>
    </w:p>
    <w:p w14:paraId="01895025" w14:textId="77777777" w:rsidR="00117E66" w:rsidRPr="00117E66" w:rsidRDefault="00117E66" w:rsidP="00117E66"/>
    <w:p w14:paraId="71A4D0D3" w14:textId="061F3E00" w:rsidR="00F80FB6" w:rsidRPr="00317401" w:rsidRDefault="00E3365B" w:rsidP="003174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BASELINE: </w:t>
      </w:r>
      <w:r w:rsidR="0043679A" w:rsidRPr="00317401">
        <w:rPr>
          <w:b/>
          <w:bCs/>
        </w:rPr>
        <w:t xml:space="preserve">Number of </w:t>
      </w:r>
      <w:r w:rsidR="00C00DBF">
        <w:rPr>
          <w:b/>
          <w:bCs/>
        </w:rPr>
        <w:t>Business by Industry</w:t>
      </w:r>
    </w:p>
    <w:tbl>
      <w:tblPr>
        <w:tblStyle w:val="TableGrid"/>
        <w:tblW w:w="1176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134"/>
        <w:gridCol w:w="1276"/>
        <w:gridCol w:w="1276"/>
        <w:gridCol w:w="992"/>
        <w:gridCol w:w="1134"/>
        <w:gridCol w:w="992"/>
        <w:gridCol w:w="1134"/>
      </w:tblGrid>
      <w:tr w:rsidR="00563569" w:rsidRPr="00563569" w14:paraId="2CECCD1B" w14:textId="3DC9F7DB" w:rsidTr="00E07690">
        <w:trPr>
          <w:trHeight w:val="498"/>
        </w:trPr>
        <w:tc>
          <w:tcPr>
            <w:tcW w:w="993" w:type="dxa"/>
          </w:tcPr>
          <w:p w14:paraId="749A6DF8" w14:textId="1DA6BB28" w:rsidR="00894E1F" w:rsidRPr="00563569" w:rsidRDefault="00563569" w:rsidP="001F6F1B">
            <w:pPr>
              <w:rPr>
                <w:b/>
                <w:bCs/>
                <w:sz w:val="18"/>
                <w:szCs w:val="18"/>
              </w:rPr>
            </w:pPr>
            <w:r w:rsidRPr="00563569">
              <w:rPr>
                <w:b/>
                <w:bCs/>
                <w:sz w:val="18"/>
                <w:szCs w:val="18"/>
              </w:rPr>
              <w:t>Region</w:t>
            </w:r>
          </w:p>
        </w:tc>
        <w:tc>
          <w:tcPr>
            <w:tcW w:w="1418" w:type="dxa"/>
          </w:tcPr>
          <w:p w14:paraId="5E51568E" w14:textId="77777777" w:rsidR="00894E1F" w:rsidRPr="00563569" w:rsidRDefault="00894E1F" w:rsidP="001F6F1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7" w:type="dxa"/>
          </w:tcPr>
          <w:p w14:paraId="45A16B59" w14:textId="3F0FDB00" w:rsidR="00894E1F" w:rsidRPr="00563569" w:rsidRDefault="00894E1F" w:rsidP="001F6F1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3CECAB4" w14:textId="54010173" w:rsidR="00894E1F" w:rsidRPr="00563569" w:rsidRDefault="00894E1F" w:rsidP="001F6F1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</w:tcPr>
          <w:p w14:paraId="1D06D473" w14:textId="77777777" w:rsidR="00894E1F" w:rsidRPr="00563569" w:rsidRDefault="00894E1F" w:rsidP="001F6F1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</w:tcPr>
          <w:p w14:paraId="10F8C10B" w14:textId="77777777" w:rsidR="00894E1F" w:rsidRPr="00563569" w:rsidRDefault="00894E1F" w:rsidP="001F6F1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30708891" w14:textId="77777777" w:rsidR="00894E1F" w:rsidRPr="00563569" w:rsidRDefault="00894E1F" w:rsidP="001F6F1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7260312E" w14:textId="77777777" w:rsidR="00894E1F" w:rsidRPr="00563569" w:rsidRDefault="00894E1F" w:rsidP="00C00DB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19165C9C" w14:textId="77777777" w:rsidR="00894E1F" w:rsidRPr="00563569" w:rsidRDefault="00894E1F" w:rsidP="00C00DB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8366487" w14:textId="77777777" w:rsidR="00894E1F" w:rsidRPr="00563569" w:rsidRDefault="00894E1F" w:rsidP="00C00DB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63569" w:rsidRPr="00563569" w14:paraId="66241CAF" w14:textId="29BB4BF6" w:rsidTr="00E07690">
        <w:trPr>
          <w:trHeight w:val="1173"/>
        </w:trPr>
        <w:tc>
          <w:tcPr>
            <w:tcW w:w="993" w:type="dxa"/>
          </w:tcPr>
          <w:p w14:paraId="2B405085" w14:textId="77777777" w:rsidR="00894E1F" w:rsidRPr="00563569" w:rsidRDefault="00894E1F" w:rsidP="001F6F1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</w:tcPr>
          <w:p w14:paraId="4E72AB5C" w14:textId="3FCDB3BF" w:rsidR="00894E1F" w:rsidRPr="00563569" w:rsidRDefault="00563569" w:rsidP="001F6F1B">
            <w:pPr>
              <w:rPr>
                <w:sz w:val="18"/>
                <w:szCs w:val="18"/>
              </w:rPr>
            </w:pPr>
            <w:r w:rsidRPr="00563569">
              <w:rPr>
                <w:sz w:val="18"/>
                <w:szCs w:val="18"/>
              </w:rPr>
              <w:t>Accommodation and Food</w:t>
            </w:r>
          </w:p>
        </w:tc>
        <w:tc>
          <w:tcPr>
            <w:tcW w:w="1417" w:type="dxa"/>
          </w:tcPr>
          <w:p w14:paraId="046A118A" w14:textId="55F38EF3" w:rsidR="00894E1F" w:rsidRPr="00563569" w:rsidRDefault="00563569" w:rsidP="001F6F1B">
            <w:pPr>
              <w:rPr>
                <w:sz w:val="18"/>
                <w:szCs w:val="18"/>
              </w:rPr>
            </w:pPr>
            <w:r w:rsidRPr="00563569">
              <w:rPr>
                <w:sz w:val="18"/>
                <w:szCs w:val="18"/>
              </w:rPr>
              <w:t>Administrative Services</w:t>
            </w:r>
          </w:p>
        </w:tc>
        <w:tc>
          <w:tcPr>
            <w:tcW w:w="1134" w:type="dxa"/>
          </w:tcPr>
          <w:p w14:paraId="3BC35F21" w14:textId="74D297A9" w:rsidR="00894E1F" w:rsidRPr="00563569" w:rsidRDefault="00563569" w:rsidP="001F6F1B">
            <w:pPr>
              <w:rPr>
                <w:b/>
                <w:bCs/>
                <w:sz w:val="18"/>
                <w:szCs w:val="18"/>
              </w:rPr>
            </w:pPr>
            <w:r w:rsidRPr="00563569">
              <w:rPr>
                <w:rFonts w:ascii="Calibri" w:hAnsi="Calibri" w:cs="Calibri"/>
                <w:color w:val="000000"/>
                <w:sz w:val="18"/>
                <w:szCs w:val="18"/>
              </w:rPr>
              <w:t>Agriculture, Forestry, and Fishing</w:t>
            </w:r>
          </w:p>
        </w:tc>
        <w:tc>
          <w:tcPr>
            <w:tcW w:w="1276" w:type="dxa"/>
          </w:tcPr>
          <w:p w14:paraId="6B86C5C9" w14:textId="198D8838" w:rsidR="00894E1F" w:rsidRPr="00563569" w:rsidRDefault="00563569" w:rsidP="00C00D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63569">
              <w:rPr>
                <w:rFonts w:ascii="Calibri" w:hAnsi="Calibri" w:cs="Calibri"/>
                <w:color w:val="000000"/>
                <w:sz w:val="18"/>
                <w:szCs w:val="18"/>
              </w:rPr>
              <w:t>Arts and Entertainment</w:t>
            </w:r>
          </w:p>
        </w:tc>
        <w:tc>
          <w:tcPr>
            <w:tcW w:w="1276" w:type="dxa"/>
          </w:tcPr>
          <w:p w14:paraId="0B8B3849" w14:textId="05CDFE84" w:rsidR="00894E1F" w:rsidRPr="00563569" w:rsidRDefault="00563569" w:rsidP="00C00D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63569">
              <w:rPr>
                <w:rFonts w:ascii="Calibri" w:hAnsi="Calibri" w:cs="Calibri"/>
                <w:color w:val="000000"/>
                <w:sz w:val="18"/>
                <w:szCs w:val="18"/>
              </w:rPr>
              <w:t>Construction</w:t>
            </w:r>
          </w:p>
        </w:tc>
        <w:tc>
          <w:tcPr>
            <w:tcW w:w="992" w:type="dxa"/>
          </w:tcPr>
          <w:p w14:paraId="29DBEE9F" w14:textId="161E86D1" w:rsidR="00894E1F" w:rsidRPr="00563569" w:rsidRDefault="00563569" w:rsidP="00C00D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63569">
              <w:rPr>
                <w:rFonts w:ascii="Calibri" w:hAnsi="Calibri" w:cs="Calibri"/>
                <w:color w:val="000000"/>
                <w:sz w:val="18"/>
                <w:szCs w:val="18"/>
              </w:rPr>
              <w:t>Education</w:t>
            </w:r>
          </w:p>
        </w:tc>
        <w:tc>
          <w:tcPr>
            <w:tcW w:w="1134" w:type="dxa"/>
          </w:tcPr>
          <w:p w14:paraId="446E4158" w14:textId="75561A28" w:rsidR="00894E1F" w:rsidRPr="00563569" w:rsidRDefault="00563569" w:rsidP="0056356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63569">
              <w:rPr>
                <w:rFonts w:ascii="Calibri" w:hAnsi="Calibri" w:cs="Calibri"/>
                <w:color w:val="000000"/>
                <w:sz w:val="18"/>
                <w:szCs w:val="18"/>
              </w:rPr>
              <w:t>Electricity and Gas</w:t>
            </w:r>
          </w:p>
        </w:tc>
        <w:tc>
          <w:tcPr>
            <w:tcW w:w="992" w:type="dxa"/>
          </w:tcPr>
          <w:p w14:paraId="00BDA9F5" w14:textId="4363C165" w:rsidR="00894E1F" w:rsidRPr="00563569" w:rsidRDefault="00894E1F" w:rsidP="00E3365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6356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Financial and </w:t>
            </w:r>
            <w:r w:rsidR="00563569" w:rsidRPr="00563569">
              <w:rPr>
                <w:rFonts w:ascii="Calibri" w:hAnsi="Calibri" w:cs="Calibri"/>
                <w:color w:val="000000"/>
                <w:sz w:val="18"/>
                <w:szCs w:val="18"/>
              </w:rPr>
              <w:t>I</w:t>
            </w:r>
            <w:r w:rsidRPr="0056356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nsurance </w:t>
            </w:r>
          </w:p>
          <w:p w14:paraId="2F27DF4B" w14:textId="77777777" w:rsidR="00894E1F" w:rsidRPr="00563569" w:rsidRDefault="00894E1F" w:rsidP="00C00D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15DE9B2" w14:textId="73117FD8" w:rsidR="00894E1F" w:rsidRPr="00563569" w:rsidRDefault="00563569" w:rsidP="0056356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63569">
              <w:rPr>
                <w:rFonts w:ascii="Calibri" w:hAnsi="Calibri" w:cs="Calibri"/>
                <w:color w:val="000000"/>
                <w:sz w:val="18"/>
                <w:szCs w:val="18"/>
              </w:rPr>
              <w:t>Health and Social Work</w:t>
            </w:r>
          </w:p>
        </w:tc>
      </w:tr>
      <w:tr w:rsidR="00563569" w:rsidRPr="00563569" w14:paraId="1D37A3E7" w14:textId="5ADB1686" w:rsidTr="00E07690">
        <w:trPr>
          <w:trHeight w:val="248"/>
        </w:trPr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856159" w14:textId="533BBD89" w:rsidR="00894E1F" w:rsidRPr="00173319" w:rsidRDefault="00894E1F" w:rsidP="008A01B1">
            <w:pPr>
              <w:rPr>
                <w:b/>
                <w:bCs/>
                <w:sz w:val="18"/>
                <w:szCs w:val="18"/>
              </w:rPr>
            </w:pPr>
            <w:r w:rsidRPr="0017331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Vanuatu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F0110" w14:textId="77777777" w:rsidR="00894E1F" w:rsidRPr="00563569" w:rsidRDefault="00894E1F" w:rsidP="008A01B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0ED8E5" w14:textId="2024CE67" w:rsidR="00894E1F" w:rsidRPr="00563569" w:rsidRDefault="00894E1F" w:rsidP="008A01B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7BEA9F" w14:textId="742F8504" w:rsidR="00894E1F" w:rsidRPr="00563569" w:rsidRDefault="00894E1F" w:rsidP="008A01B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E93FE8" w14:textId="77777777" w:rsidR="00894E1F" w:rsidRPr="00563569" w:rsidRDefault="00894E1F" w:rsidP="008A01B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407BB5" w14:textId="77777777" w:rsidR="00894E1F" w:rsidRPr="00563569" w:rsidRDefault="00894E1F" w:rsidP="008A01B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C4F9E7" w14:textId="77777777" w:rsidR="00894E1F" w:rsidRPr="00563569" w:rsidRDefault="00894E1F" w:rsidP="008A01B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43335A" w14:textId="77777777" w:rsidR="00894E1F" w:rsidRPr="00563569" w:rsidRDefault="00894E1F" w:rsidP="00C00D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ED628" w14:textId="77777777" w:rsidR="00894E1F" w:rsidRPr="00563569" w:rsidRDefault="00894E1F" w:rsidP="00C00D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FBE9C0" w14:textId="77777777" w:rsidR="00894E1F" w:rsidRPr="00563569" w:rsidRDefault="00894E1F" w:rsidP="00C00D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563569" w:rsidRPr="00563569" w14:paraId="7DC79FA7" w14:textId="77777777" w:rsidTr="00E07690">
        <w:trPr>
          <w:trHeight w:val="248"/>
        </w:trPr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45F345" w14:textId="6E44C406" w:rsidR="00E3365B" w:rsidRPr="00563569" w:rsidRDefault="00E3365B" w:rsidP="008A01B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92726F" w14:textId="77777777" w:rsidR="00E3365B" w:rsidRPr="00563569" w:rsidRDefault="00E3365B" w:rsidP="008A01B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CFA65" w14:textId="77777777" w:rsidR="00E3365B" w:rsidRPr="00563569" w:rsidRDefault="00E3365B" w:rsidP="008A01B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EC816" w14:textId="77777777" w:rsidR="00E3365B" w:rsidRPr="00563569" w:rsidRDefault="00E3365B" w:rsidP="008A01B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2ED434" w14:textId="77777777" w:rsidR="00E3365B" w:rsidRPr="00563569" w:rsidRDefault="00E3365B" w:rsidP="008A01B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F8B0E" w14:textId="77777777" w:rsidR="00E3365B" w:rsidRPr="00563569" w:rsidRDefault="00E3365B" w:rsidP="008A01B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692D2" w14:textId="77777777" w:rsidR="00E3365B" w:rsidRPr="00563569" w:rsidRDefault="00E3365B" w:rsidP="008A01B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CB4A25" w14:textId="77777777" w:rsidR="00E3365B" w:rsidRPr="00563569" w:rsidRDefault="00E3365B" w:rsidP="00C00D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E84EB2" w14:textId="77777777" w:rsidR="00E3365B" w:rsidRPr="00563569" w:rsidRDefault="00E3365B" w:rsidP="00C00D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FFA06" w14:textId="77777777" w:rsidR="00E3365B" w:rsidRPr="00563569" w:rsidRDefault="00E3365B" w:rsidP="00C00D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14:paraId="5C2D9245" w14:textId="5EB1910D" w:rsidR="0043679A" w:rsidRDefault="0043679A"/>
    <w:tbl>
      <w:tblPr>
        <w:tblStyle w:val="TableGrid"/>
        <w:tblW w:w="1176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993"/>
        <w:gridCol w:w="992"/>
        <w:gridCol w:w="992"/>
        <w:gridCol w:w="1134"/>
        <w:gridCol w:w="1418"/>
        <w:gridCol w:w="1275"/>
        <w:gridCol w:w="1134"/>
      </w:tblGrid>
      <w:tr w:rsidR="00563569" w:rsidRPr="00563569" w14:paraId="2AE687FB" w14:textId="77777777" w:rsidTr="00615201">
        <w:trPr>
          <w:trHeight w:val="498"/>
        </w:trPr>
        <w:tc>
          <w:tcPr>
            <w:tcW w:w="993" w:type="dxa"/>
          </w:tcPr>
          <w:p w14:paraId="31188D59" w14:textId="17170EBF" w:rsidR="00E3365B" w:rsidRPr="00563569" w:rsidRDefault="00563569" w:rsidP="0061511A">
            <w:pPr>
              <w:rPr>
                <w:b/>
                <w:bCs/>
                <w:sz w:val="18"/>
                <w:szCs w:val="18"/>
              </w:rPr>
            </w:pPr>
            <w:r w:rsidRPr="00563569">
              <w:rPr>
                <w:b/>
                <w:bCs/>
                <w:sz w:val="18"/>
                <w:szCs w:val="18"/>
              </w:rPr>
              <w:t>Region</w:t>
            </w:r>
          </w:p>
        </w:tc>
        <w:tc>
          <w:tcPr>
            <w:tcW w:w="1418" w:type="dxa"/>
          </w:tcPr>
          <w:p w14:paraId="15F35F49" w14:textId="77777777" w:rsidR="00E3365B" w:rsidRPr="00563569" w:rsidRDefault="00E3365B" w:rsidP="0061511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7" w:type="dxa"/>
          </w:tcPr>
          <w:p w14:paraId="349B1FBA" w14:textId="77777777" w:rsidR="00E3365B" w:rsidRPr="00563569" w:rsidRDefault="00E3365B" w:rsidP="0061511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3E1D02DB" w14:textId="77777777" w:rsidR="00E3365B" w:rsidRPr="00563569" w:rsidRDefault="00E3365B" w:rsidP="0061511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7A034EB1" w14:textId="77777777" w:rsidR="00E3365B" w:rsidRPr="00563569" w:rsidRDefault="00E3365B" w:rsidP="0061511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6BEED2E9" w14:textId="77777777" w:rsidR="00E3365B" w:rsidRPr="00563569" w:rsidRDefault="00E3365B" w:rsidP="0061511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441E232A" w14:textId="77777777" w:rsidR="00E3365B" w:rsidRPr="00563569" w:rsidRDefault="00E3365B" w:rsidP="0061511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</w:tcPr>
          <w:p w14:paraId="5337D919" w14:textId="77777777" w:rsidR="00E3365B" w:rsidRPr="00563569" w:rsidRDefault="00E3365B" w:rsidP="006151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</w:tcPr>
          <w:p w14:paraId="209081EE" w14:textId="77777777" w:rsidR="00E3365B" w:rsidRPr="00563569" w:rsidRDefault="00E3365B" w:rsidP="006151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62D545E0" w14:textId="77777777" w:rsidR="00E3365B" w:rsidRPr="00563569" w:rsidRDefault="00E3365B" w:rsidP="0061511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63569" w:rsidRPr="00563569" w14:paraId="3930128A" w14:textId="77777777" w:rsidTr="00615201">
        <w:trPr>
          <w:trHeight w:val="1173"/>
        </w:trPr>
        <w:tc>
          <w:tcPr>
            <w:tcW w:w="993" w:type="dxa"/>
          </w:tcPr>
          <w:p w14:paraId="68FB6759" w14:textId="77777777" w:rsidR="00E3365B" w:rsidRPr="00563569" w:rsidRDefault="00E3365B" w:rsidP="0061511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</w:tcPr>
          <w:p w14:paraId="0FB89FE5" w14:textId="521242B3" w:rsidR="00E3365B" w:rsidRPr="00563569" w:rsidRDefault="00563569" w:rsidP="0061511A">
            <w:pPr>
              <w:rPr>
                <w:sz w:val="18"/>
                <w:szCs w:val="18"/>
              </w:rPr>
            </w:pPr>
            <w:r w:rsidRPr="00563569">
              <w:rPr>
                <w:sz w:val="18"/>
                <w:szCs w:val="18"/>
              </w:rPr>
              <w:t>Information and Communication</w:t>
            </w:r>
          </w:p>
        </w:tc>
        <w:tc>
          <w:tcPr>
            <w:tcW w:w="1417" w:type="dxa"/>
          </w:tcPr>
          <w:p w14:paraId="38DAD082" w14:textId="779C6DF9" w:rsidR="00E3365B" w:rsidRPr="00563569" w:rsidRDefault="00563569" w:rsidP="0061511A">
            <w:pPr>
              <w:rPr>
                <w:sz w:val="18"/>
                <w:szCs w:val="18"/>
              </w:rPr>
            </w:pPr>
            <w:r w:rsidRPr="00563569">
              <w:rPr>
                <w:sz w:val="18"/>
                <w:szCs w:val="18"/>
              </w:rPr>
              <w:t>Manufacturing</w:t>
            </w:r>
          </w:p>
        </w:tc>
        <w:tc>
          <w:tcPr>
            <w:tcW w:w="993" w:type="dxa"/>
          </w:tcPr>
          <w:p w14:paraId="230E603C" w14:textId="36BFA2B5" w:rsidR="00E3365B" w:rsidRPr="00563569" w:rsidRDefault="00563569" w:rsidP="0061511A">
            <w:pPr>
              <w:rPr>
                <w:b/>
                <w:bCs/>
                <w:sz w:val="18"/>
                <w:szCs w:val="18"/>
              </w:rPr>
            </w:pPr>
            <w:r w:rsidRPr="00563569">
              <w:rPr>
                <w:rFonts w:ascii="Calibri" w:hAnsi="Calibri" w:cs="Calibri"/>
                <w:color w:val="000000"/>
                <w:sz w:val="18"/>
                <w:szCs w:val="18"/>
              </w:rPr>
              <w:t>Mining and Quarrying</w:t>
            </w:r>
            <w:r w:rsidRPr="0056356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14:paraId="724A63D8" w14:textId="619B892F" w:rsidR="00E3365B" w:rsidRPr="00563569" w:rsidRDefault="00563569" w:rsidP="0061511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63569">
              <w:rPr>
                <w:rFonts w:ascii="Calibri" w:hAnsi="Calibri" w:cs="Calibri"/>
                <w:color w:val="000000"/>
                <w:sz w:val="18"/>
                <w:szCs w:val="18"/>
              </w:rPr>
              <w:t>Other Services</w:t>
            </w:r>
          </w:p>
        </w:tc>
        <w:tc>
          <w:tcPr>
            <w:tcW w:w="992" w:type="dxa"/>
          </w:tcPr>
          <w:p w14:paraId="36D5EA1E" w14:textId="5C173CEE" w:rsidR="00E3365B" w:rsidRPr="00563569" w:rsidRDefault="00563569" w:rsidP="0061511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63569">
              <w:rPr>
                <w:rFonts w:ascii="Calibri" w:hAnsi="Calibri" w:cs="Calibri"/>
                <w:color w:val="000000"/>
                <w:sz w:val="18"/>
                <w:szCs w:val="18"/>
              </w:rPr>
              <w:t>Scientific and Technical</w:t>
            </w:r>
          </w:p>
        </w:tc>
        <w:tc>
          <w:tcPr>
            <w:tcW w:w="1134" w:type="dxa"/>
          </w:tcPr>
          <w:p w14:paraId="13F24535" w14:textId="184FCFAE" w:rsidR="00E3365B" w:rsidRPr="00563569" w:rsidRDefault="00563569" w:rsidP="0061511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63569">
              <w:rPr>
                <w:rFonts w:ascii="Calibri" w:hAnsi="Calibri" w:cs="Calibri"/>
                <w:color w:val="000000"/>
                <w:sz w:val="18"/>
                <w:szCs w:val="18"/>
              </w:rPr>
              <w:t>Real Estate</w:t>
            </w:r>
          </w:p>
        </w:tc>
        <w:tc>
          <w:tcPr>
            <w:tcW w:w="1418" w:type="dxa"/>
          </w:tcPr>
          <w:p w14:paraId="0520A1FA" w14:textId="2E3307CF" w:rsidR="00E3365B" w:rsidRPr="00563569" w:rsidRDefault="00563569" w:rsidP="0056356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63569">
              <w:rPr>
                <w:rFonts w:ascii="Calibri" w:hAnsi="Calibri" w:cs="Calibri"/>
                <w:color w:val="000000"/>
                <w:sz w:val="18"/>
                <w:szCs w:val="18"/>
              </w:rPr>
              <w:t>Transportation</w:t>
            </w:r>
          </w:p>
        </w:tc>
        <w:tc>
          <w:tcPr>
            <w:tcW w:w="1275" w:type="dxa"/>
          </w:tcPr>
          <w:p w14:paraId="2C1FB3BD" w14:textId="43D9FD98" w:rsidR="00E3365B" w:rsidRPr="00563569" w:rsidRDefault="00563569" w:rsidP="0056356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6356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Water Supply and Waste </w:t>
            </w:r>
            <w:r w:rsidRPr="00563569">
              <w:rPr>
                <w:rFonts w:ascii="Calibri" w:hAnsi="Calibri" w:cs="Calibri"/>
                <w:color w:val="000000"/>
                <w:sz w:val="18"/>
                <w:szCs w:val="18"/>
              </w:rPr>
              <w:t>Management</w:t>
            </w:r>
          </w:p>
        </w:tc>
        <w:tc>
          <w:tcPr>
            <w:tcW w:w="1134" w:type="dxa"/>
          </w:tcPr>
          <w:p w14:paraId="2C2C43C1" w14:textId="470B31C0" w:rsidR="00E3365B" w:rsidRPr="00563569" w:rsidRDefault="00563569" w:rsidP="0056356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63569">
              <w:rPr>
                <w:rFonts w:ascii="Calibri" w:hAnsi="Calibri" w:cs="Calibri"/>
                <w:color w:val="000000"/>
                <w:sz w:val="18"/>
                <w:szCs w:val="18"/>
              </w:rPr>
              <w:t>Wholesale and Retail Trade</w:t>
            </w:r>
            <w:r w:rsidRPr="0056356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563569" w:rsidRPr="00563569" w14:paraId="51ADF675" w14:textId="77777777" w:rsidTr="00615201">
        <w:trPr>
          <w:trHeight w:val="248"/>
        </w:trPr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44004B" w14:textId="77777777" w:rsidR="00E3365B" w:rsidRPr="004E4A5F" w:rsidRDefault="00E3365B" w:rsidP="0061511A">
            <w:pPr>
              <w:rPr>
                <w:b/>
                <w:bCs/>
                <w:sz w:val="18"/>
                <w:szCs w:val="18"/>
              </w:rPr>
            </w:pPr>
            <w:r w:rsidRPr="004E4A5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Vanuatu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CBEDA6" w14:textId="77777777" w:rsidR="00E3365B" w:rsidRPr="00563569" w:rsidRDefault="00E3365B" w:rsidP="0061511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8E02F" w14:textId="77777777" w:rsidR="00E3365B" w:rsidRPr="00563569" w:rsidRDefault="00E3365B" w:rsidP="0061511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6D2D9D" w14:textId="77777777" w:rsidR="00E3365B" w:rsidRPr="00563569" w:rsidRDefault="00E3365B" w:rsidP="0061511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7B9EE6" w14:textId="77777777" w:rsidR="00E3365B" w:rsidRPr="00563569" w:rsidRDefault="00E3365B" w:rsidP="0061511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BC69A" w14:textId="77777777" w:rsidR="00E3365B" w:rsidRPr="00563569" w:rsidRDefault="00E3365B" w:rsidP="0061511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4EF543" w14:textId="77777777" w:rsidR="00E3365B" w:rsidRPr="00563569" w:rsidRDefault="00E3365B" w:rsidP="0061511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23D3CB" w14:textId="77777777" w:rsidR="00E3365B" w:rsidRPr="00563569" w:rsidRDefault="00E3365B" w:rsidP="0061511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810563" w14:textId="77777777" w:rsidR="00E3365B" w:rsidRPr="00563569" w:rsidRDefault="00E3365B" w:rsidP="0061511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87D5B" w14:textId="77777777" w:rsidR="00E3365B" w:rsidRPr="00563569" w:rsidRDefault="00E3365B" w:rsidP="0061511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563569" w:rsidRPr="00563569" w14:paraId="008132B7" w14:textId="77777777" w:rsidTr="00615201">
        <w:trPr>
          <w:trHeight w:val="248"/>
        </w:trPr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D4BDA6" w14:textId="77777777" w:rsidR="00E3365B" w:rsidRPr="00563569" w:rsidRDefault="00E3365B" w:rsidP="0061511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C464D" w14:textId="77777777" w:rsidR="00E3365B" w:rsidRPr="00563569" w:rsidRDefault="00E3365B" w:rsidP="0061511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A1A5E7" w14:textId="77777777" w:rsidR="00E3365B" w:rsidRPr="00563569" w:rsidRDefault="00E3365B" w:rsidP="0061511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667605" w14:textId="77777777" w:rsidR="00E3365B" w:rsidRPr="00563569" w:rsidRDefault="00E3365B" w:rsidP="0061511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A7542" w14:textId="77777777" w:rsidR="00E3365B" w:rsidRPr="00563569" w:rsidRDefault="00E3365B" w:rsidP="0061511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13DD7" w14:textId="77777777" w:rsidR="00E3365B" w:rsidRPr="00563569" w:rsidRDefault="00E3365B" w:rsidP="0061511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AE4B47" w14:textId="77777777" w:rsidR="00E3365B" w:rsidRPr="00563569" w:rsidRDefault="00E3365B" w:rsidP="0061511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ACB64" w14:textId="77777777" w:rsidR="00E3365B" w:rsidRPr="00563569" w:rsidRDefault="00E3365B" w:rsidP="0061511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9AB0C" w14:textId="77777777" w:rsidR="00E3365B" w:rsidRPr="00563569" w:rsidRDefault="00E3365B" w:rsidP="0061511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3BE88" w14:textId="77777777" w:rsidR="00E3365B" w:rsidRPr="00563569" w:rsidRDefault="00E3365B" w:rsidP="0061511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14:paraId="5D1678D0" w14:textId="77777777" w:rsidR="00E3365B" w:rsidRDefault="00E3365B"/>
    <w:p w14:paraId="039875CF" w14:textId="77777777" w:rsidR="00317401" w:rsidRPr="00317401" w:rsidRDefault="00317401" w:rsidP="00317401">
      <w:pPr>
        <w:rPr>
          <w:b/>
          <w:bCs/>
        </w:rPr>
      </w:pPr>
    </w:p>
    <w:sectPr w:rsidR="00317401" w:rsidRPr="00317401" w:rsidSect="0056356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03DA"/>
    <w:multiLevelType w:val="hybridMultilevel"/>
    <w:tmpl w:val="DE8E9764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1" w15:restartNumberingAfterBreak="0">
    <w:nsid w:val="3EA46CE5"/>
    <w:multiLevelType w:val="hybridMultilevel"/>
    <w:tmpl w:val="1870FFC0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60BF4A2A"/>
    <w:multiLevelType w:val="hybridMultilevel"/>
    <w:tmpl w:val="E7B6B9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8013CA"/>
    <w:multiLevelType w:val="hybridMultilevel"/>
    <w:tmpl w:val="89B6B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85896"/>
    <w:multiLevelType w:val="hybridMultilevel"/>
    <w:tmpl w:val="6B007B00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num w:numId="1" w16cid:durableId="1698119065">
    <w:abstractNumId w:val="3"/>
  </w:num>
  <w:num w:numId="2" w16cid:durableId="955678695">
    <w:abstractNumId w:val="2"/>
  </w:num>
  <w:num w:numId="3" w16cid:durableId="434207512">
    <w:abstractNumId w:val="1"/>
  </w:num>
  <w:num w:numId="4" w16cid:durableId="439376712">
    <w:abstractNumId w:val="4"/>
  </w:num>
  <w:num w:numId="5" w16cid:durableId="283124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B6"/>
    <w:rsid w:val="000B252B"/>
    <w:rsid w:val="000E65F4"/>
    <w:rsid w:val="00117E66"/>
    <w:rsid w:val="00146754"/>
    <w:rsid w:val="00160229"/>
    <w:rsid w:val="00173319"/>
    <w:rsid w:val="001E7951"/>
    <w:rsid w:val="002036C0"/>
    <w:rsid w:val="00216EC6"/>
    <w:rsid w:val="00222114"/>
    <w:rsid w:val="002907A1"/>
    <w:rsid w:val="002D6812"/>
    <w:rsid w:val="002D6B70"/>
    <w:rsid w:val="00317401"/>
    <w:rsid w:val="003B17C7"/>
    <w:rsid w:val="003E2182"/>
    <w:rsid w:val="0043679A"/>
    <w:rsid w:val="00483B78"/>
    <w:rsid w:val="004A7ABE"/>
    <w:rsid w:val="004C428A"/>
    <w:rsid w:val="004E4A5F"/>
    <w:rsid w:val="00515A2B"/>
    <w:rsid w:val="0054028E"/>
    <w:rsid w:val="00541EE2"/>
    <w:rsid w:val="00545635"/>
    <w:rsid w:val="00547681"/>
    <w:rsid w:val="00563569"/>
    <w:rsid w:val="005A5274"/>
    <w:rsid w:val="00615201"/>
    <w:rsid w:val="006519A8"/>
    <w:rsid w:val="00695DAE"/>
    <w:rsid w:val="006A000D"/>
    <w:rsid w:val="006B06AD"/>
    <w:rsid w:val="006E64F5"/>
    <w:rsid w:val="00735857"/>
    <w:rsid w:val="007528A5"/>
    <w:rsid w:val="007B2AD6"/>
    <w:rsid w:val="007C7120"/>
    <w:rsid w:val="007D590B"/>
    <w:rsid w:val="00881DFF"/>
    <w:rsid w:val="00894E1F"/>
    <w:rsid w:val="008A01B1"/>
    <w:rsid w:val="00901EC3"/>
    <w:rsid w:val="00957B42"/>
    <w:rsid w:val="009B765E"/>
    <w:rsid w:val="009F4BC4"/>
    <w:rsid w:val="00A03253"/>
    <w:rsid w:val="00AB06C8"/>
    <w:rsid w:val="00AD7299"/>
    <w:rsid w:val="00B04102"/>
    <w:rsid w:val="00B40739"/>
    <w:rsid w:val="00B777DF"/>
    <w:rsid w:val="00BC23D5"/>
    <w:rsid w:val="00C00DBF"/>
    <w:rsid w:val="00C933B9"/>
    <w:rsid w:val="00CB5934"/>
    <w:rsid w:val="00CD45B1"/>
    <w:rsid w:val="00D400C7"/>
    <w:rsid w:val="00DB2E32"/>
    <w:rsid w:val="00DE0D14"/>
    <w:rsid w:val="00E07690"/>
    <w:rsid w:val="00E3365B"/>
    <w:rsid w:val="00E61FA5"/>
    <w:rsid w:val="00F11FAB"/>
    <w:rsid w:val="00F567E1"/>
    <w:rsid w:val="00F80FB6"/>
    <w:rsid w:val="00FB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0014"/>
  <w15:chartTrackingRefBased/>
  <w15:docId w15:val="{08469E00-4130-43D3-AAF3-6BA88FFD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358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F619-9B2A-4167-9BD5-3578171F9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Hugo Pigott</cp:lastModifiedBy>
  <cp:revision>46</cp:revision>
  <dcterms:created xsi:type="dcterms:W3CDTF">2025-04-23T22:20:00Z</dcterms:created>
  <dcterms:modified xsi:type="dcterms:W3CDTF">2025-09-13T01:11:00Z</dcterms:modified>
</cp:coreProperties>
</file>