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Raleway; userifert mengdetekstfont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Playfair Display; serifert overskriftsfont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Alpaca Solidify; lamafont, grafisk element-font i UKEprofilen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Beskrivelse av fontbruk.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‘Lychehjulet’ - Playfair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Arrangementstittel - Alpaca Solidify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All bruk av Alpaca solidify er </w:t>
      </w:r>
      <w:r w:rsidDel="00000000" w:rsidR="00000000" w:rsidRPr="00000000">
        <w:rPr>
          <w:u w:val="single"/>
          <w:rtl w:val="0"/>
        </w:rPr>
        <w:t xml:space="preserve">kun</w:t>
      </w:r>
      <w:r w:rsidDel="00000000" w:rsidR="00000000" w:rsidRPr="00000000">
        <w:rPr>
          <w:rtl w:val="0"/>
        </w:rPr>
        <w:t xml:space="preserve"> i uppercase.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Mengdetekst og plain-knapptekst - Raleway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