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/>
          <w:b/>
          <w:i w:val="0"/>
          <w:color w:val="B77A00"/>
          <w:sz w:val="22"/>
        </w:rPr>
        <w:t>SANCTRA</w:t>
      </w:r>
    </w:p>
    <w:p>
      <w:pPr>
        <w:spacing w:after="100"/>
      </w:pPr>
      <w:r>
        <w:rPr>
          <w:rFonts w:ascii="Arial" w:hAnsi="Arial"/>
          <w:b/>
          <w:i w:val="0"/>
          <w:color w:val="0F1422"/>
          <w:sz w:val="56"/>
        </w:rPr>
        <w:t>Design System</w:t>
      </w:r>
    </w:p>
    <w:p>
      <w:pPr>
        <w:spacing w:after="360"/>
      </w:pPr>
      <w:r>
        <w:rPr>
          <w:rFonts w:ascii="Arial" w:hAnsi="Arial"/>
          <w:b w:val="0"/>
          <w:i w:val="0"/>
          <w:color w:val="4A5468"/>
          <w:sz w:val="26"/>
        </w:rPr>
        <w:t>A complete implementation-derived guide for consistent public-site and future product design.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Source</w:t>
            </w:r>
          </w:p>
        </w:tc>
        <w:tc>
          <w:tcPr>
            <w:tcW w:type="dxa" w:w="2160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Status</w:t>
            </w:r>
          </w:p>
        </w:tc>
        <w:tc>
          <w:tcPr>
            <w:tcW w:type="dxa" w:w="4032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Authority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sanct-proto TanStack implementation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Migrated to Next.js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Exact values in globals.css and design-tokens.ts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Document version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1.0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Brand and interface reference</w:t>
            </w:r>
          </w:p>
        </w:tc>
      </w:tr>
    </w:tbl>
    <w:p>
      <w:pPr>
        <w:pStyle w:val="Heading1"/>
      </w:pPr>
      <w:r>
        <w:t>1. Brand foundation</w:t>
      </w:r>
    </w:p>
    <w:p>
      <w:r>
        <w:t>Sanctra is an engineering control plane. Its interface should feel operational, deliberate, trustworthy, and technically literate. The visual system is dark-first, restrained, square, and precise. Gold is used as a controlled signal rather than decoration.</w:t>
      </w:r>
    </w:p>
    <w:p>
      <w:pPr>
        <w:pStyle w:val="Heading2"/>
      </w:pPr>
      <w:r>
        <w:t>Design principles</w:t>
      </w:r>
    </w:p>
    <w:p>
      <w:pPr>
        <w:pStyle w:val="ListBullet"/>
        <w:spacing w:after="80"/>
        <w:ind w:left="720" w:hanging="360"/>
      </w:pPr>
      <w:r>
        <w:t>Operational clarity: visuals explain repository state, infrastructure flow, or action.</w:t>
      </w:r>
    </w:p>
    <w:p>
      <w:pPr>
        <w:pStyle w:val="ListBullet"/>
        <w:spacing w:after="80"/>
        <w:ind w:left="720" w:hanging="360"/>
      </w:pPr>
      <w:r>
        <w:t>Hard geometry: square corners, hairline borders, and disciplined grids.</w:t>
      </w:r>
    </w:p>
    <w:p>
      <w:pPr>
        <w:pStyle w:val="ListBullet"/>
        <w:spacing w:after="80"/>
        <w:ind w:left="720" w:hanging="360"/>
      </w:pPr>
      <w:r>
        <w:t>One signal color: gold identifies brand, focus, and primary action.</w:t>
      </w:r>
    </w:p>
    <w:p>
      <w:pPr>
        <w:pStyle w:val="ListBullet"/>
        <w:spacing w:after="80"/>
        <w:ind w:left="720" w:hanging="360"/>
      </w:pPr>
      <w:r>
        <w:t>Calm density: technical information stays compact without becoming noisy.</w:t>
      </w:r>
    </w:p>
    <w:p>
      <w:pPr>
        <w:pStyle w:val="ListBullet"/>
        <w:spacing w:after="80"/>
        <w:ind w:left="720" w:hanging="360"/>
      </w:pPr>
      <w:r>
        <w:t>Reversible trust: UI language reinforces reviewable pull requests and user control.</w:t>
      </w:r>
    </w:p>
    <w:p>
      <w:pPr>
        <w:pStyle w:val="Heading2"/>
      </w:pPr>
      <w:r>
        <w:t>Anti-patterns</w:t>
      </w:r>
    </w:p>
    <w:p>
      <w:r>
        <w:t>Do not introduce rounded SaaS cards, purple AI gradients, mascots, excessive glassmorphism, fake product metrics, generic stock illustration, playful bounce motion, or a second decorative accent color.</w:t>
      </w:r>
    </w:p>
    <w:p>
      <w:pPr>
        <w:pStyle w:val="Heading1"/>
      </w:pPr>
      <w:r>
        <w:t>2. Color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Token</w:t>
            </w:r>
          </w:p>
        </w:tc>
        <w:tc>
          <w:tcPr>
            <w:tcW w:type="dxa" w:w="338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Dark / default</w:t>
            </w:r>
          </w:p>
        </w:tc>
        <w:tc>
          <w:tcPr>
            <w:tcW w:type="dxa" w:w="338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Light / opt-in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Background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#050505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#F7F8FB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Foreground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#F5F7FA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#0F1422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Card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#0A0A0A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#FFFFFF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Surface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#0D0D0D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#FFFFFF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Surface muted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#171717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#EEF1F6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Primary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#F5B324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#B77A00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Muted text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#A1A1AA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#4A5468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Border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white / 8%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#0F1422 / 10%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Input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white / 14%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#0F1422 / 16%</w:t>
            </w:r>
          </w:p>
        </w:tc>
      </w:tr>
    </w:tbl>
    <w:p>
      <w:pPr>
        <w:pStyle w:val="Heading2"/>
      </w:pPr>
      <w:r>
        <w:t>Semantic colors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Meaning</w:t>
            </w:r>
          </w:p>
        </w:tc>
        <w:tc>
          <w:tcPr>
            <w:tcW w:type="dxa" w:w="1728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Value</w:t>
            </w:r>
          </w:p>
        </w:tc>
        <w:tc>
          <w:tcPr>
            <w:tcW w:type="dxa" w:w="5472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Usage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Success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#2EAD78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Passing checks, available integrations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Warning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#D99A32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Attention and non-blocking risk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Destructive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#D95C5C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Errors and removal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Info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#5B8DEF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Neutral system information</w:t>
            </w:r>
          </w:p>
        </w:tc>
      </w:tr>
    </w:tbl>
    <w:p>
      <w:r>
        <w:t>Accessibility rule: never communicate status through color alone. Pair color with text, a symbol, a dot, or a structural treatment.</w:t>
      </w:r>
    </w:p>
    <w:p>
      <w:pPr>
        <w:pStyle w:val="Heading1"/>
      </w:pPr>
      <w:r>
        <w:t>3. Typography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Role</w:t>
            </w:r>
          </w:p>
        </w:tc>
        <w:tc>
          <w:tcPr>
            <w:tcW w:type="dxa" w:w="2520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Family</w:t>
            </w:r>
          </w:p>
        </w:tc>
        <w:tc>
          <w:tcPr>
            <w:tcW w:type="dxa" w:w="4752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Specification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Display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Space Grotesk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Headings; 600 weight; -0.02em tracking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Body/UI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Inter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400–700; cv11, ss01, ss03 features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Code/ops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JetBrains Mono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Logs, YAML, labels, branches, metrics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Mono label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JetBrains Mono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11px; 500; 0.12em; uppercase</w:t>
            </w:r>
          </w:p>
        </w:tc>
      </w:tr>
    </w:tbl>
    <w:p>
      <w:r>
        <w:t>Use fluid clamp-based display sizes for major marketing headlines. Preserve readable line lengths, compact UI labels, and explicit hierarchy. Fonts are loaded through next/font and mapped to CSS variables.</w:t>
      </w:r>
    </w:p>
    <w:p>
      <w:pPr>
        <w:pStyle w:val="Heading1"/>
      </w:pPr>
      <w:r>
        <w:t>4. Layout and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Property</w:t>
            </w:r>
          </w:p>
        </w:tc>
        <w:tc>
          <w:tcPr>
            <w:tcW w:type="dxa" w:w="194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Value</w:t>
            </w:r>
          </w:p>
        </w:tc>
        <w:tc>
          <w:tcPr>
            <w:tcW w:type="dxa" w:w="5040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Application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Global radius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0px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All elements and pseudo-elements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Content width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1280px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Primary marketing container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Page gutter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24px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Mobile and desktop outer padding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Section rhythm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80px / 96px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Base / md vertical padding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Background grid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48px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Subtle masked hero/section grid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Border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1px hairline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Cards, sections, controls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Hover lift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3px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Interactive cards only</w:t>
            </w:r>
          </w:p>
        </w:tc>
      </w:tr>
    </w:tbl>
    <w:p>
      <w:pPr>
        <w:pStyle w:val="Heading2"/>
      </w:pPr>
      <w:r>
        <w:t>Surface hierarchy</w:t>
      </w:r>
    </w:p>
    <w:p>
      <w:r>
        <w:t>Background is the canvas. Card contains discrete modules. Surface represents operational elevation. Surface-muted is reserved for quiet secondary regions. Shadows are rare and must remain restrained and gold-tinted only where interaction benefits from lift.</w:t>
      </w:r>
    </w:p>
    <w:p>
      <w:pPr>
        <w:pStyle w:val="Heading1"/>
      </w:pPr>
      <w:r>
        <w:t>5. Component specifications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Component</w:t>
            </w:r>
          </w:p>
        </w:tc>
        <w:tc>
          <w:tcPr>
            <w:tcW w:type="dxa" w:w="5400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Visual contract</w:t>
            </w:r>
          </w:p>
        </w:tc>
        <w:tc>
          <w:tcPr>
            <w:tcW w:type="dxa" w:w="2016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Reuse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SiteNav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Sticky translucent canvas, blur, bottom hairline, clipped label swap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All public pages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Button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Square, bordered, compact; gold primary; clear focus 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Global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Pill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Mono label, border, tint, optional status dot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Global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Card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Hairline + card surface; optional 3px lift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Global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Terminal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#0B1120, 12.5px mono, 1.7 line height, diff rails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Marketing/product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Form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Explicit labels, square controls, gold focus state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Global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Footer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Three colonnades, system status, oversized wordmark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Public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SanctraMark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Square S monogram; optional wordmark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Global</w:t>
            </w:r>
          </w:p>
        </w:tc>
      </w:tr>
    </w:tbl>
    <w:p>
      <w:pPr>
        <w:pStyle w:val="Heading2"/>
      </w:pPr>
      <w:r>
        <w:t>Buttons and states</w:t>
      </w:r>
    </w:p>
    <w:p>
      <w:pPr>
        <w:pStyle w:val="ListBullet"/>
        <w:spacing w:after="80"/>
        <w:ind w:left="720" w:hanging="360"/>
      </w:pPr>
      <w:r>
        <w:t>Primary: solid gold with dark foreground; use once per decision cluster.</w:t>
      </w:r>
    </w:p>
    <w:p>
      <w:pPr>
        <w:pStyle w:val="ListBullet"/>
        <w:spacing w:after="80"/>
        <w:ind w:left="720" w:hanging="360"/>
      </w:pPr>
      <w:r>
        <w:t>Secondary: bordered surface with foreground text.</w:t>
      </w:r>
    </w:p>
    <w:p>
      <w:pPr>
        <w:pStyle w:val="ListBullet"/>
        <w:spacing w:after="80"/>
        <w:ind w:left="720" w:hanging="360"/>
      </w:pPr>
      <w:r>
        <w:t>Ghost: no visible border until interaction; use for low-priority actions.</w:t>
      </w:r>
    </w:p>
    <w:p>
      <w:pPr>
        <w:pStyle w:val="ListBullet"/>
        <w:spacing w:after="80"/>
        <w:ind w:left="720" w:hanging="360"/>
      </w:pPr>
      <w:r>
        <w:t>Focus: 2px semantic ring with offset against the current background.</w:t>
      </w:r>
    </w:p>
    <w:p>
      <w:pPr>
        <w:pStyle w:val="ListBullet"/>
        <w:spacing w:after="80"/>
        <w:ind w:left="720" w:hanging="360"/>
      </w:pPr>
      <w:r>
        <w:t>Disabled/loading: preserve width and label context; never rely on opacity alone.</w:t>
      </w:r>
    </w:p>
    <w:p>
      <w:pPr>
        <w:pStyle w:val="Heading1"/>
      </w:pPr>
      <w:r>
        <w:t>6. Motion language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Pattern</w:t>
            </w:r>
          </w:p>
        </w:tc>
        <w:tc>
          <w:tcPr>
            <w:tcW w:type="dxa" w:w="374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Timing</w:t>
            </w:r>
          </w:p>
        </w:tc>
        <w:tc>
          <w:tcPr>
            <w:tcW w:type="dxa" w:w="3672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Purpose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Scroll reveal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800ms; cubic-bezier(.2,.7,.2,1); 14px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Section entrance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Rise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900ms; same easing; 18px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One-shot mount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Scan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3.4s ease-in-out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Repository/process analysis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Pulse dot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1.8s ease-in-out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Live status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Ticker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40s linear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Continuous trust/technology strip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Marquee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60s linear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Slow ambient sequence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Type-in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1.2s steps(40)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Code/command disclosure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Stamp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700ms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Approval/result emphasis</w:t>
            </w:r>
          </w:p>
        </w:tc>
      </w:tr>
    </w:tbl>
    <w:p>
      <w:r>
        <w:t>All reveal and looping motion must be removed under prefers-reduced-motion. Avoid layout thrashing, large parallax, and decorative movement that does not communicate hierarchy or state.</w:t>
      </w:r>
    </w:p>
    <w:p>
      <w:pPr>
        <w:pStyle w:val="Heading1"/>
      </w:pPr>
      <w:r>
        <w:t>7. Responsive and accessibility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Breakpoint</w:t>
            </w:r>
          </w:p>
        </w:tc>
        <w:tc>
          <w:tcPr>
            <w:tcW w:type="dxa" w:w="1728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Width</w:t>
            </w:r>
          </w:p>
        </w:tc>
        <w:tc>
          <w:tcPr>
            <w:tcW w:type="dxa" w:w="5688"/>
            <w:shd w:fill="0A0A0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5B324"/>
                <w:sz w:val="18"/>
              </w:rPr>
              <w:t>Typical change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sm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640px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CTA and compact grid expansion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md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768px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Desktop navigation; section rhythm; multi-column layouts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lg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1024px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Primary hero and feature compositions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xl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1280px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Full container composition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2xl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1536px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0F1422"/>
                <w:sz w:val="18"/>
              </w:rPr>
              <w:t>Large viewport breathing room</w:t>
            </w:r>
          </w:p>
        </w:tc>
      </w:tr>
    </w:tbl>
    <w:p>
      <w:pPr>
        <w:pStyle w:val="ListBullet"/>
        <w:spacing w:after="80"/>
        <w:ind w:left="720" w:hanging="360"/>
      </w:pPr>
      <w:r>
        <w:t>Semantic heading order and native interactive elements are mandatory.</w:t>
      </w:r>
    </w:p>
    <w:p>
      <w:pPr>
        <w:pStyle w:val="ListBullet"/>
        <w:spacing w:after="80"/>
        <w:ind w:left="720" w:hanging="360"/>
      </w:pPr>
      <w:r>
        <w:t>Keyboard focus must remain clearly visible on every action.</w:t>
      </w:r>
    </w:p>
    <w:p>
      <w:pPr>
        <w:pStyle w:val="ListBullet"/>
        <w:spacing w:after="80"/>
        <w:ind w:left="720" w:hanging="360"/>
      </w:pPr>
      <w:r>
        <w:t>Navigation, FAQ controls, and forms must be fully keyboard operable.</w:t>
      </w:r>
    </w:p>
    <w:p>
      <w:pPr>
        <w:pStyle w:val="ListBullet"/>
        <w:spacing w:after="80"/>
        <w:ind w:left="720" w:hanging="360"/>
      </w:pPr>
      <w:r>
        <w:t>Code panes scroll horizontally rather than shrinking text.</w:t>
      </w:r>
    </w:p>
    <w:p>
      <w:pPr>
        <w:pStyle w:val="ListBullet"/>
        <w:spacing w:after="80"/>
        <w:ind w:left="720" w:hanging="360"/>
      </w:pPr>
      <w:r>
        <w:t>No horizontal page overflow at 360px and above.</w:t>
      </w:r>
    </w:p>
    <w:p>
      <w:pPr>
        <w:pStyle w:val="ListBullet"/>
        <w:spacing w:after="80"/>
        <w:ind w:left="720" w:hanging="360"/>
      </w:pPr>
      <w:r>
        <w:t>Text and status colors must meet practical WCAG 2.2 AA contrast.</w:t>
      </w:r>
    </w:p>
    <w:p>
      <w:pPr>
        <w:pStyle w:val="Heading1"/>
      </w:pPr>
      <w:r>
        <w:t>8. Content and visual language</w:t>
      </w:r>
    </w:p>
    <w:p>
      <w:r>
        <w:t>Copy is clear, technical, calm, and concrete. Prefer “Connect a repository and open a reviewable infrastructure pull request” over broad claims about transforming workflows. Illustrations should be infrastructure visualizations: repositories, pipeline stages, files, checks, diffs, and deployment targets. The product itself is the hero.</w:t>
      </w:r>
    </w:p>
    <w:p>
      <w:pPr>
        <w:pStyle w:val="Heading2"/>
      </w:pPr>
      <w:r>
        <w:t>Design review checklist</w:t>
      </w:r>
    </w:p>
    <w:p>
      <w:pPr>
        <w:pStyle w:val="ListBullet"/>
        <w:spacing w:after="80"/>
        <w:ind w:left="720" w:hanging="360"/>
      </w:pPr>
      <w:r>
        <w:t>Uses only approved colors and font families.</w:t>
      </w:r>
    </w:p>
    <w:p>
      <w:pPr>
        <w:pStyle w:val="ListBullet"/>
        <w:spacing w:after="80"/>
        <w:ind w:left="720" w:hanging="360"/>
      </w:pPr>
      <w:r>
        <w:t>Preserves global square geometry and hairline borders.</w:t>
      </w:r>
    </w:p>
    <w:p>
      <w:pPr>
        <w:pStyle w:val="ListBullet"/>
        <w:spacing w:after="80"/>
        <w:ind w:left="720" w:hanging="360"/>
      </w:pPr>
      <w:r>
        <w:t>Uses gold for signal, not decoration.</w:t>
      </w:r>
    </w:p>
    <w:p>
      <w:pPr>
        <w:pStyle w:val="ListBullet"/>
        <w:spacing w:after="80"/>
        <w:ind w:left="720" w:hanging="360"/>
      </w:pPr>
      <w:r>
        <w:t>Matches 1280px container and 24px gutter conventions.</w:t>
      </w:r>
    </w:p>
    <w:p>
      <w:pPr>
        <w:pStyle w:val="ListBullet"/>
        <w:spacing w:after="80"/>
        <w:ind w:left="720" w:hanging="360"/>
      </w:pPr>
      <w:r>
        <w:t>Includes hover, focus, loading, error, empty, and reduced-motion states.</w:t>
      </w:r>
    </w:p>
    <w:p>
      <w:pPr>
        <w:pStyle w:val="ListBullet"/>
        <w:spacing w:after="80"/>
        <w:ind w:left="720" w:hanging="360"/>
      </w:pPr>
      <w:r>
        <w:t>Uses operational imagery rather than generic AI imagery.</w:t>
      </w:r>
    </w:p>
    <w:p>
      <w:pPr>
        <w:pStyle w:val="ListBullet"/>
        <w:spacing w:after="80"/>
        <w:ind w:left="720" w:hanging="360"/>
      </w:pPr>
      <w:r>
        <w:t>Works at 360, 390, 768, 1024, 1280, and 1440px.</w:t>
      </w:r>
    </w:p>
    <w:p>
      <w:pPr>
        <w:pStyle w:val="ListBullet"/>
        <w:spacing w:after="80"/>
        <w:ind w:left="720" w:hanging="360"/>
      </w:pPr>
      <w:r>
        <w:t>Adds reusable tokens before repeating arbitrary values.</w:t>
      </w:r>
    </w:p>
    <w:p>
      <w:pPr>
        <w:pStyle w:val="Heading1"/>
      </w:pPr>
      <w:r>
        <w:t>9. Source of truth</w:t>
      </w:r>
    </w:p>
    <w:p>
      <w:r>
        <w:t>Machine-readable tokens live in src/config/design-tokens.ts. Runtime CSS variables, utilities, themes, and animations live in src/app/globals.css. Component behavior lives in src/components. This document explains the rules; implementation files remain authoritative when exact code values are required.</w:t>
      </w:r>
    </w:p>
    <w:p>
      <w:r>
        <w:t>Change process: propose the token or component-contract change, validate it in both themes and required breakpoints, update code and documentation together, and record any intentional deviation from the original prototype.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4A5468"/>
        <w:sz w:val="16"/>
      </w:rPr>
      <w:t>Implementation-derived reference  •  v1.0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4A5468"/>
        <w:sz w:val="17"/>
      </w:rPr>
      <w:t>SANCTRA  / 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F14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B77A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77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7A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