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26.png" ContentType="image/png"/>
  <Override PartName="/word/media/rId46.png" ContentType="image/png"/>
  <Override PartName="/word/media/rId88.png" ContentType="image/png"/>
  <Override PartName="/word/media/rId99.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执行摘要"/>
    <w:p>
      <w:pPr>
        <w:pStyle w:val="Heading1"/>
      </w:pPr>
      <w:r>
        <w:t xml:space="preserve">执行摘要</w:t>
      </w:r>
    </w:p>
    <w:bookmarkStart w:id="20" w:name="核心结论"/>
    <w:p>
      <w:pPr>
        <w:pStyle w:val="Heading2"/>
      </w:pPr>
      <w:r>
        <w:t xml:space="preserve">核心结论</w:t>
      </w:r>
    </w:p>
    <w:p>
      <w:pPr>
        <w:pStyle w:val="FirstParagraph"/>
      </w:pPr>
      <w:r>
        <w:t xml:space="preserve">本项目评估劳动仲裁智能体（Labor Arbitration AI Agent）的市场可行性、技术可行性、合规可行性与商业可行性。综合七章分析，结论为：</w:t>
      </w:r>
      <w:r>
        <w:rPr>
          <w:bCs/>
          <w:b/>
        </w:rPr>
        <w:t xml:space="preserve">高度可行</w:t>
      </w:r>
      <w:r>
        <w:t xml:space="preserve">。2024年全国劳动仲裁案件达425.7万件，涉及劳动者454.9万人，结案金额934.7亿元</w:t>
      </w:r>
      <w:r>
        <w:rPr>
          <w:vertAlign w:val="superscript"/>
        </w:rPr>
        <w:footnoteReference w:id="1"/>
      </w:r>
      <w:r>
        <w:t xml:space="preserve">，案件总量五年增长100.9%，年均复合增长率（CAGR）约15%</w:t>
      </w:r>
      <w:r>
        <w:rPr>
          <w:vertAlign w:val="superscript"/>
        </w:rPr>
        <w:footnoteReference w:id="2"/>
      </w:r>
      <w:r>
        <w:t xml:space="preserve">。当前市场上无专门劳动仲裁AI产品，竞品均为通用法律AI的附属功能</w:t>
      </w:r>
      <w:r>
        <w:rPr>
          <w:vertAlign w:val="superscript"/>
        </w:rPr>
        <w:footnoteReference w:id="3"/>
      </w:r>
      <w:r>
        <w:t xml:space="preserve"> </w:t>
      </w:r>
      <w:r>
        <w:rPr>
          <w:vertAlign w:val="superscript"/>
        </w:rPr>
        <w:footnoteReference w:id="4"/>
      </w:r>
      <w:r>
        <w:t xml:space="preserve">。技术层面，零成本最小可行产品（Minimum Viable Product, MVP）方案已验证可行——利用Gemini 2.5 Flash-Lite免费层（1,000 RPD/天）</w:t>
      </w:r>
      <w:r>
        <w:rPr>
          <w:vertAlign w:val="superscript"/>
        </w:rPr>
        <w:footnoteReference w:id="5"/>
      </w:r>
      <w:r>
        <w:t xml:space="preserve">、Next.js框架与Vercel免费部署，可在$0月度运营成本下启动。合规层面，以”法律信息工具”（Legal Information Tool）定位可避开《律师法》第13条红线</w:t>
      </w:r>
      <w:r>
        <w:rPr>
          <w:vertAlign w:val="superscript"/>
        </w:rPr>
        <w:footnoteReference w:id="6"/>
      </w:r>
      <w:r>
        <w:t xml:space="preserve">，纯前端架构消除服务端数据合规风险</w:t>
      </w:r>
      <w:r>
        <w:rPr>
          <w:vertAlign w:val="superscript"/>
        </w:rPr>
        <w:footnoteReference w:id="7"/>
      </w:r>
      <w:r>
        <w:t xml:space="preserve">。商业层面，C端免费增值+B端企业SaaS双轮驱动，保守估计第二年可实现盈亏平衡。</w:t>
      </w:r>
    </w:p>
    <w:bookmarkEnd w:id="20"/>
    <w:bookmarkStart w:id="21" w:name="市场缺口400万案件的结构性真空"/>
    <w:p>
      <w:pPr>
        <w:pStyle w:val="Heading2"/>
      </w:pPr>
      <w:r>
        <w:t xml:space="preserve">市场缺口：400万+案件的结构性真空</w:t>
      </w:r>
    </w:p>
    <w:p>
      <w:pPr>
        <w:pStyle w:val="FirstParagraph"/>
      </w:pPr>
      <w:r>
        <w:t xml:space="preserve">中国劳动仲裁市场呈现”高增长、大缺口、弱竞争”的三重叠加特征。案件总量从2019年的211.9万件增至2024年的425.7万件</w:t>
      </w:r>
      <w:fldSimple w:instr="NOTEREF _Ref_Footnote_1 \h \f">
        <w:r>
          <w:rPr>
            <w:vertAlign w:val="superscript"/>
          </w:rPr>
          <w:t>1</w:t>
        </w:r>
      </w:fldSimple>
      <w:r>
        <w:t xml:space="preserve">，新就业形态劳动者规模达8{,}400万人</w:t>
      </w:r>
      <w:r>
        <w:rPr>
          <w:vertAlign w:val="superscript"/>
        </w:rPr>
        <w:footnoteReference w:id="8"/>
      </w:r>
      <w:r>
        <w:t xml:space="preserve">为争议增长提供持续动能。法律援助覆盖约48万件/年</w:t>
      </w:r>
      <w:r>
        <w:rPr>
          <w:vertAlign w:val="superscript"/>
        </w:rPr>
        <w:footnoteReference w:id="9"/>
      </w:r>
      <w:r>
        <w:t xml:space="preserve">，仅覆盖约12.5%的案件量，每年约300万至380万件案件的当事人无法获得任何法律援助。通义法睿、法行宝、ChatLaw等10余款主流AI法律产品均无劳动仲裁专项功能</w:t>
      </w:r>
      <w:fldSimple w:instr="NOTEREF _Ref_Footnote_3 \h \f">
        <w:r>
          <w:rPr>
            <w:vertAlign w:val="superscript"/>
          </w:rPr>
          <w:t>3</w:t>
        </w:r>
      </w:fldSimple>
      <w:r>
        <w:t xml:space="preserve"> </w:t>
      </w:r>
      <w:fldSimple w:instr="NOTEREF _Ref_Footnote_4 \h \f">
        <w:r>
          <w:rPr>
            <w:vertAlign w:val="superscript"/>
          </w:rPr>
          <w:t>4</w:t>
        </w:r>
      </w:fldSimple>
      <w:r>
        <w:t xml:space="preserve">，赔偿金计算（N/N+1/2N）和证据清单生成构成”五星空白”。56.2%的劳动者在权益受损时选择忍气吞声</w:t>
      </w:r>
      <w:r>
        <w:rPr>
          <w:vertAlign w:val="superscript"/>
        </w:rPr>
        <w:footnoteReference w:id="10"/>
      </w:r>
      <w:r>
        <w:t xml:space="preserve">，超过80%在证据收集阶段遇到困难，31.4%的电子证据因取证不当而失效</w:t>
      </w:r>
      <w:r>
        <w:rPr>
          <w:vertAlign w:val="superscript"/>
        </w:rPr>
        <w:footnoteReference w:id="11"/>
      </w:r>
      <w:r>
        <w:t xml:space="preserve"> </w:t>
      </w:r>
      <w:r>
        <w:rPr>
          <w:vertAlign w:val="superscript"/>
        </w:rPr>
        <w:footnoteReference w:id="12"/>
      </w:r>
      <w:r>
        <w:t xml:space="preserve">——用户需要的不是”知道答案”，而是”知道怎么做”，这正是现有产品体系的根本盲区。</w:t>
      </w:r>
    </w:p>
    <w:bookmarkEnd w:id="21"/>
    <w:bookmarkStart w:id="22" w:name="mvp核心定位劳动者的第一份法律行动指南"/>
    <w:p>
      <w:pPr>
        <w:pStyle w:val="Heading2"/>
      </w:pPr>
      <w:r>
        <w:t xml:space="preserve">MVP核心定位：</w:t>
      </w:r>
      <w:r>
        <w:t xml:space="preserve">“</w:t>
      </w:r>
      <w:r>
        <w:t xml:space="preserve">劳动者的第一份法律行动指南</w:t>
      </w:r>
      <w:r>
        <w:t xml:space="preserve">”</w:t>
      </w:r>
    </w:p>
    <w:p>
      <w:pPr>
        <w:pStyle w:val="FirstParagraph"/>
      </w:pPr>
      <w:r>
        <w:t xml:space="preserve">产品定位的核心范式转移是从”法律咨询机器人”转向”法律行动工具”。劳动者的三层递进需求——答案类（</w:t>
      </w:r>
      <w:r>
        <w:t xml:space="preserve">“</w:t>
      </w:r>
      <w:r>
        <w:t xml:space="preserve">合法吗</w:t>
      </w:r>
      <w:r>
        <w:t xml:space="preserve">”</w:t>
      </w:r>
      <w:r>
        <w:t xml:space="preserve">）、流程类（</w:t>
      </w:r>
      <w:r>
        <w:t xml:space="preserve">“</w:t>
      </w:r>
      <w:r>
        <w:t xml:space="preserve">怎么申请</w:t>
      </w:r>
      <w:r>
        <w:t xml:space="preserve">”</w:t>
      </w:r>
      <w:r>
        <w:t xml:space="preserve">）、执行类（</w:t>
      </w:r>
      <w:r>
        <w:t xml:space="preserve">“</w:t>
      </w:r>
      <w:r>
        <w:t xml:space="preserve">证据怎么整理</w:t>
      </w:r>
      <w:r>
        <w:t xml:space="preserve">”</w:t>
      </w:r>
      <w:r>
        <w:t xml:space="preserve">）——中，现有产品仅覆盖前两层。产品以”劳动者的第一份法律行动指南”（Labor Action Guide）为核心定位，其基本交互单元是”任务清单”：当用户描述案情后，系统输出动态行动方案，包含个性化证据清单（标注紧急程度与获取路径）、赔偿金精确计算（适配地域规则）、流程时限追踪和文书自动填充模板。</w:t>
      </w:r>
    </w:p>
    <w:p>
      <w:pPr>
        <w:pStyle w:val="BodyText"/>
      </w:pPr>
      <w:r>
        <w:t xml:space="preserve">证据采集模块构成最具竞争壁垒的差异化功能。73%的劳动争议涉及电子证据</w:t>
      </w:r>
      <w:fldSimple w:instr="NOTEREF _Ref_Footnote_11 \h \f">
        <w:r>
          <w:rPr>
            <w:vertAlign w:val="superscript"/>
          </w:rPr>
          <w:t>11</w:t>
        </w:r>
      </w:fldSimple>
      <w:r>
        <w:t xml:space="preserve">，但无任何竞品提供完整的证据采集指导工具</w:t>
      </w:r>
      <w:fldSimple w:instr="NOTEREF _Ref_Footnote_3 \h \f">
        <w:r>
          <w:rPr>
            <w:vertAlign w:val="superscript"/>
          </w:rPr>
          <w:t>3</w:t>
        </w:r>
      </w:fldSimple>
      <w:r>
        <w:t xml:space="preserve"> </w:t>
      </w:r>
      <w:fldSimple w:instr="NOTEREF _Ref_Footnote_4 \h \f">
        <w:r>
          <w:rPr>
            <w:vertAlign w:val="superscript"/>
          </w:rPr>
          <w:t>4</w:t>
        </w:r>
      </w:fldSimple>
      <w:r>
        <w:t xml:space="preserve">。可信时间戳存证服务（30元/次，已被31个省市采信</w:t>
      </w:r>
      <w:r>
        <w:rPr>
          <w:vertAlign w:val="superscript"/>
        </w:rPr>
        <w:footnoteReference w:id="13"/>
      </w:r>
      <w:r>
        <w:t xml:space="preserve"> </w:t>
      </w:r>
      <w:r>
        <w:rPr>
          <w:vertAlign w:val="superscript"/>
        </w:rPr>
        <w:footnoteReference w:id="14"/>
      </w:r>
      <w:r>
        <w:t xml:space="preserve">）的嵌入既为用户增值，也创造了付费转化节点。交互设计采用”超级计算器+流程向导”（Super Calculator + Process Wizard）形态，以填空式问卷替代自由文本输入，降低幻觉风险并优化搜索引擎可见性。</w:t>
      </w:r>
    </w:p>
    <w:bookmarkEnd w:id="22"/>
    <w:bookmarkStart w:id="23" w:name="四大可行性支柱"/>
    <w:p>
      <w:pPr>
        <w:pStyle w:val="Heading2"/>
      </w:pPr>
      <w:r>
        <w:t xml:space="preserve">四大可行性支柱</w:t>
      </w:r>
    </w:p>
    <w:p>
      <w:pPr>
        <w:pStyle w:val="FirstParagraph"/>
      </w:pPr>
      <w:r>
        <w:rPr>
          <w:bCs/>
          <w:b/>
        </w:rPr>
        <w:t xml:space="preserve">市场可行</w:t>
      </w:r>
      <w:r>
        <w:t xml:space="preserve">：可服务市场（Serviceable Addressable Market, SAM）估计为100-150万人，对应市场规模20-50亿元</w:t>
      </w:r>
      <w:r>
        <w:rPr>
          <w:vertAlign w:val="superscript"/>
        </w:rPr>
        <w:footnoteReference w:id="15"/>
      </w:r>
      <w:r>
        <w:t xml:space="preserve">。工资拖欠（35%）、社保纠纷（25%）、违法解除（20%）和经济补偿争议（15%）四类高频场景</w:t>
      </w:r>
      <w:r>
        <w:rPr>
          <w:vertAlign w:val="superscript"/>
        </w:rPr>
        <w:footnoteReference w:id="16"/>
      </w:r>
      <w:r>
        <w:t xml:space="preserve"> </w:t>
      </w:r>
      <w:r>
        <w:rPr>
          <w:vertAlign w:val="superscript"/>
        </w:rPr>
        <w:footnoteReference w:id="17"/>
      </w:r>
      <w:r>
        <w:t xml:space="preserve">，覆盖AI智能体可发挥核心价值的主要领域。</w:t>
      </w:r>
    </w:p>
    <w:p>
      <w:pPr>
        <w:pStyle w:val="BodyText"/>
      </w:pPr>
      <w:r>
        <w:rPr>
          <w:bCs/>
          <w:b/>
        </w:rPr>
        <w:t xml:space="preserve">技术可行</w:t>
      </w:r>
      <w:r>
        <w:t xml:space="preserve">：MVP采用零成本技术栈——Gemini 2.5 Flash-Lite（1,000 RPD免费层）</w:t>
      </w:r>
      <w:fldSimple w:instr="NOTEREF _Ref_Footnote_5 \h \f">
        <w:r>
          <w:rPr>
            <w:vertAlign w:val="superscript"/>
          </w:rPr>
          <w:t>5</w:t>
        </w:r>
      </w:fldSimple>
      <w:r>
        <w:t xml:space="preserve">为主模型，DeepSeek V3.2（500万token免费层）</w:t>
      </w:r>
      <w:r>
        <w:rPr>
          <w:vertAlign w:val="superscript"/>
        </w:rPr>
        <w:footnoteReference w:id="18"/>
      </w:r>
      <w:r>
        <w:t xml:space="preserve">和智谱GLM-4-Flash（无限调用）</w:t>
      </w:r>
      <w:r>
        <w:rPr>
          <w:vertAlign w:val="superscript"/>
        </w:rPr>
        <w:footnoteReference w:id="19"/>
      </w:r>
      <w:r>
        <w:t xml:space="preserve">为备用，Next.js + Vercel AI SDK为前端框架</w:t>
      </w:r>
      <w:r>
        <w:rPr>
          <w:vertAlign w:val="superscript"/>
        </w:rPr>
        <w:footnoteReference w:id="20"/>
      </w:r>
      <w:r>
        <w:t xml:space="preserve">，纯前端架构消除数据合规风险</w:t>
      </w:r>
      <w:fldSimple w:instr="NOTEREF _Ref_Footnote_7 \h \f">
        <w:r>
          <w:rPr>
            <w:vertAlign w:val="superscript"/>
          </w:rPr>
          <w:t>7</w:t>
        </w:r>
      </w:fldSimple>
      <w:r>
        <w:t xml:space="preserve">。单模型配合Prompt三层防护（Chain-of-Thought→约束生成→自我校验）可将幻觉率降低55-74%</w:t>
      </w:r>
      <w:r>
        <w:rPr>
          <w:vertAlign w:val="superscript"/>
        </w:rPr>
        <w:footnoteReference w:id="21"/>
      </w:r>
      <w:r>
        <w:t xml:space="preserve"> </w:t>
      </w:r>
      <w:r>
        <w:rPr>
          <w:vertAlign w:val="superscript"/>
        </w:rPr>
        <w:footnoteReference w:id="22"/>
      </w:r>
      <w:r>
        <w:t xml:space="preserve"> </w:t>
      </w:r>
      <w:r>
        <w:rPr>
          <w:vertAlign w:val="superscript"/>
        </w:rPr>
        <w:footnoteReference w:id="23"/>
      </w:r>
      <w:r>
        <w:t xml:space="preserve">。PLaw Bench评测国产模型最高分约67-70%</w:t>
      </w:r>
      <w:r>
        <w:rPr>
          <w:vertAlign w:val="superscript"/>
        </w:rPr>
        <w:footnoteReference w:id="24"/>
      </w:r>
      <w:r>
        <w:t xml:space="preserve">，不足以替代律师，但远超”自己摸索”的现有替代方案。</w:t>
      </w:r>
    </w:p>
    <w:p>
      <w:pPr>
        <w:pStyle w:val="BodyText"/>
      </w:pPr>
      <w:r>
        <w:rPr>
          <w:bCs/>
          <w:b/>
        </w:rPr>
        <w:t xml:space="preserve">合规可行</w:t>
      </w:r>
      <w:r>
        <w:t xml:space="preserve">：产品以”法律信息工具”而非”法律服务”定位，避开《律师法》第13条红线</w:t>
      </w:r>
      <w:fldSimple w:instr="NOTEREF _Ref_Footnote_6 \h \f">
        <w:r>
          <w:rPr>
            <w:vertAlign w:val="superscript"/>
          </w:rPr>
          <w:t>6</w:t>
        </w:r>
      </w:fldSimple>
      <w:r>
        <w:t xml:space="preserve">。算法备案遵循《生成式人工智能服务管理暂行办法》</w:t>
      </w:r>
      <w:r>
        <w:rPr>
          <w:vertAlign w:val="superscript"/>
        </w:rPr>
        <w:footnoteReference w:id="25"/>
      </w:r>
      <w:r>
        <w:t xml:space="preserve">，首次审查时间30个工作日</w:t>
      </w:r>
      <w:r>
        <w:rPr>
          <w:vertAlign w:val="superscript"/>
        </w:rPr>
        <w:footnoteReference w:id="26"/>
      </w:r>
      <w:r>
        <w:t xml:space="preserve">。纯前端方案确保用户敏感数据永不离开浏览器，从根本上规避《个人信息保护法》合规义务链</w:t>
      </w:r>
      <w:fldSimple w:instr="NOTEREF _Ref_Footnote_7 \h \f">
        <w:r>
          <w:rPr>
            <w:vertAlign w:val="superscript"/>
          </w:rPr>
          <w:t>7</w:t>
        </w:r>
      </w:fldSimple>
      <w:r>
        <w:t xml:space="preserve">。</w:t>
      </w:r>
    </w:p>
    <w:p>
      <w:pPr>
        <w:pStyle w:val="BodyText"/>
      </w:pPr>
      <w:r>
        <w:rPr>
          <w:bCs/>
          <w:b/>
        </w:rPr>
        <w:t xml:space="preserve">商业可行</w:t>
      </w:r>
      <w:r>
        <w:t xml:space="preserve">：收入结构采用”C端获客+B端变现+G端托底”的三层架构。C端免费增值以基础评估功能引流，高级功能按次付费（29-49元），预计转化率3-8%</w:t>
      </w:r>
      <w:r>
        <w:rPr>
          <w:vertAlign w:val="superscript"/>
        </w:rPr>
        <w:footnoteReference w:id="27"/>
      </w:r>
      <w:r>
        <w:t xml:space="preserve">；B端企业SaaS定价2{,}999-9{,}999元/年，面向劳动争议败诉率70%以上</w:t>
      </w:r>
      <w:r>
        <w:rPr>
          <w:vertAlign w:val="superscript"/>
        </w:rPr>
        <w:footnoteReference w:id="28"/>
      </w:r>
      <w:r>
        <w:t xml:space="preserve">的中小企业提供HR合规风险评估；律师转介以”技术服务费”替代”案源介绍费”规避《律师法》第26条红线</w:t>
      </w:r>
      <w:fldSimple w:instr="NOTEREF _Ref_Footnote_17 \h \f">
        <w:r>
          <w:rPr>
            <w:vertAlign w:val="superscript"/>
          </w:rPr>
          <w:t>17</w:t>
        </w:r>
      </w:fldSimple>
      <w:r>
        <w:t xml:space="preserve">；政府购买服务参考6-20万元/年/站点</w:t>
      </w:r>
      <w:r>
        <w:rPr>
          <w:vertAlign w:val="superscript"/>
        </w:rPr>
        <w:footnoteReference w:id="29"/>
      </w:r>
      <w:r>
        <w:t xml:space="preserve">。保守情景下Year 2年度收入约155万元，运营成本约17.5万元，盈亏平衡可期。</w:t>
      </w:r>
    </w:p>
    <w:bookmarkEnd w:id="23"/>
    <w:bookmarkStart w:id="24" w:name="实施路径与风险管控"/>
    <w:p>
      <w:pPr>
        <w:pStyle w:val="Heading2"/>
      </w:pPr>
      <w:r>
        <w:t xml:space="preserve">实施路径与风险管控</w:t>
      </w:r>
    </w:p>
    <w:p>
      <w:pPr>
        <w:pStyle w:val="FirstParagraph"/>
      </w:pPr>
      <w:r>
        <w:t xml:space="preserve">MVP遵循”快速原型→生产MVP→功能迭代→规模化”四阶段路径，总计16周。第一阶段（Week 1-2）使用Gradio构建原型；第二阶段（Week 3-4）升级为Next.js + Vercel，P0功能（纠纷识别、证据清单、流程指引）上线；第三阶段（Month 2-3）迭代补偿金计算器和文书模板；第四阶段（Month 4-6）通过SEO获取自然流量，启动律师网络和B端试点。</w:t>
      </w:r>
    </w:p>
    <w:p>
      <w:pPr>
        <w:pStyle w:val="BodyText"/>
      </w:pPr>
      <w:r>
        <w:t xml:space="preserve">项目面临三类核心风险：技术风险（AI幻觉率17-33%</w:t>
      </w:r>
      <w:r>
        <w:rPr>
          <w:vertAlign w:val="superscript"/>
        </w:rPr>
        <w:footnoteReference w:id="30"/>
      </w:r>
      <w:r>
        <w:t xml:space="preserve">）、合规风险（</w:t>
      </w:r>
      <w:r>
        <w:t xml:space="preserve">“</w:t>
      </w:r>
      <w:r>
        <w:t xml:space="preserve">法律信息</w:t>
      </w:r>
      <w:r>
        <w:t xml:space="preserve">”</w:t>
      </w:r>
      <w:r>
        <w:t xml:space="preserve">与”法律建议”边界模糊</w:t>
      </w:r>
      <w:r>
        <w:rPr>
          <w:vertAlign w:val="superscript"/>
        </w:rPr>
        <w:footnoteReference w:id="31"/>
      </w:r>
      <w:r>
        <w:t xml:space="preserve">）和市场风险（竞品跟进与付费转化不及预期）。技术风险通过四层防护体系将损失概率降至1%以下；合规风险通过MVP阶段引入律师参与设计和算法备案前置管理；市场风险通过先发构建律师网络和数据积累形成壁垒。核心决策原则是：诚实优先于完美——产品在所有输出中标注置信度与不确定性，坦诚展示AI能力边界比”假装确定”的错误更能建立长期信任。</w:t>
      </w:r>
    </w:p>
    <w:p>
      <w:r>
        <w:pict>
          <v:rect style="width:0;height:1.5pt" o:hralign="center" o:hrstd="t" o:hr="t"/>
        </w:pict>
      </w:r>
    </w:p>
    <w:bookmarkEnd w:id="24"/>
    <w:bookmarkEnd w:id="25"/>
    <w:bookmarkStart w:id="41" w:name="市场可行性分析"/>
    <w:p>
      <w:pPr>
        <w:pStyle w:val="Heading1"/>
      </w:pPr>
      <w:r>
        <w:t xml:space="preserve">1. 市场可行性分析</w:t>
      </w:r>
    </w:p>
    <w:bookmarkStart w:id="32" w:name="劳动仲裁市场规模与增长趋势"/>
    <w:p>
      <w:pPr>
        <w:pStyle w:val="Heading2"/>
      </w:pPr>
      <w:r>
        <w:t xml:space="preserve">1.1 劳动仲裁市场规模与增长趋势</w:t>
      </w:r>
    </w:p>
    <w:bookmarkStart w:id="29" w:name="全国劳动仲裁案件近5年数据2019-2024"/>
    <w:p>
      <w:pPr>
        <w:pStyle w:val="Heading3"/>
      </w:pPr>
      <w:r>
        <w:t xml:space="preserve">1.1.1 全国劳动仲裁案件近5年数据（2019-2024）</w:t>
      </w:r>
    </w:p>
    <w:p>
      <w:pPr>
        <w:pStyle w:val="FirstParagraph"/>
      </w:pPr>
      <w:r>
        <w:t xml:space="preserve">中国人力资源和社会保障部（MOHRSS）历年发布的《人力资源和社会保障事业发展统计公报》显示，全国劳动人事争议案件数量在2019年至2024年间呈现持续加速增长态势。2019年全国案件总量为211.9万件，至2024年已达425.7万件，涉及劳动者454.9万人，结案金额934.7亿元</w:t>
      </w:r>
      <w:fldSimple w:instr="NOTEREF _Ref_Footnote_1 \h \f">
        <w:r>
          <w:rPr>
            <w:vertAlign w:val="superscript"/>
          </w:rPr>
          <w:t>1</w:t>
        </w:r>
      </w:fldSimple>
      <w:r>
        <w:t xml:space="preserve"> </w:t>
      </w:r>
      <w:fldSimple w:instr="NOTEREF _Ref_Footnote_2 \h \f">
        <w:r>
          <w:rPr>
            <w:vertAlign w:val="superscript"/>
          </w:rPr>
          <w:t>2</w:t>
        </w:r>
      </w:fldSimple>
      <w:r>
        <w:t xml:space="preserve">。以2019年为基期计算，五年间案件总量增长100.9%，年均复合增长率（Compound Annual Growth Rate, CAGR）约为15%。</w:t>
      </w:r>
    </w:p>
    <w:p>
      <w:pPr>
        <w:pStyle w:val="CaptionedFigure"/>
      </w:pPr>
      <w:r>
        <w:drawing>
          <wp:inline>
            <wp:extent cx="5334000" cy="2920303"/>
            <wp:effectExtent b="0" l="0" r="0" t="0"/>
            <wp:docPr descr="2019-2024年全国劳动人事争议案件增长趋势" title="" id="27" name="Picture"/>
            <a:graphic>
              <a:graphicData uri="http://schemas.openxmlformats.org/drawingml/2006/picture">
                <pic:pic>
                  <pic:nvPicPr>
                    <pic:cNvPr descr="labor_arb_chart_cases.png" id="28" name="Picture"/>
                    <pic:cNvPicPr>
                      <a:picLocks noChangeArrowheads="1" noChangeAspect="1"/>
                    </pic:cNvPicPr>
                  </pic:nvPicPr>
                  <pic:blipFill>
                    <a:blip r:embed="rId26"/>
                    <a:stretch>
                      <a:fillRect/>
                    </a:stretch>
                  </pic:blipFill>
                  <pic:spPr bwMode="auto">
                    <a:xfrm>
                      <a:off x="0" y="0"/>
                      <a:ext cx="5334000" cy="2920303"/>
                    </a:xfrm>
                    <a:prstGeom prst="rect">
                      <a:avLst/>
                    </a:prstGeom>
                    <a:noFill/>
                    <a:ln w="9525">
                      <a:noFill/>
                      <a:headEnd/>
                      <a:tailEnd/>
                    </a:ln>
                  </pic:spPr>
                </pic:pic>
              </a:graphicData>
            </a:graphic>
          </wp:inline>
        </w:drawing>
      </w:r>
    </w:p>
    <w:p>
      <w:pPr>
        <w:pStyle w:val="ImageCaption"/>
      </w:pPr>
      <w:r>
        <w:t xml:space="preserve">2019-2024年全国劳动人事争议案件增长趋势</w:t>
      </w:r>
    </w:p>
    <w:p>
      <w:pPr>
        <w:pStyle w:val="BodyText"/>
      </w:pPr>
      <w:r>
        <w:t xml:space="preserve">上图清晰呈现了案件数量的阶梯式上升轨迹。2020年受新冠疫情影响增速有所放缓（+4.7%），但2021年迅速反弹至+18.6%，2022年和2023年分别保持+20.2%和+21.8%的高速增长，2024年增速虽回落至+10.6%，但绝对增量仍达40.7万件</w:t>
      </w:r>
      <w:fldSimple w:instr="NOTEREF _Ref_Footnote_1 \h \f">
        <w:r>
          <w:rPr>
            <w:vertAlign w:val="superscript"/>
          </w:rPr>
          <w:t>1</w:t>
        </w:r>
      </w:fldSimple>
      <w:r>
        <w:t xml:space="preserve">。西北政法大学2024年的研究确认，2019年至2023年案件数增长比例高达81.7%</w:t>
      </w:r>
      <w:fldSimple w:instr="NOTEREF _Ref_Footnote_2 \h \f">
        <w:r>
          <w:rPr>
            <w:vertAlign w:val="superscript"/>
          </w:rPr>
          <w:t>2</w:t>
        </w:r>
      </w:fldSimple>
      <w:r>
        <w:t xml:space="preserve">。同期仲裁程序效率亦在提升：2024年调解成功率从2021年的73.3%稳步升至79.6%</w:t>
      </w:r>
      <w:r>
        <w:rPr>
          <w:vertAlign w:val="superscript"/>
        </w:rPr>
        <w:footnoteReference w:id="32"/>
      </w:r>
      <w:r>
        <w:t xml:space="preserve"> </w:t>
      </w:r>
      <w:r>
        <w:rPr>
          <w:vertAlign w:val="superscript"/>
        </w:rPr>
        <w:footnoteReference w:id="33"/>
      </w:r>
      <w:r>
        <w:t xml:space="preserve">。</w:t>
      </w:r>
    </w:p>
    <w:bookmarkEnd w:id="29"/>
    <w:bookmarkStart w:id="30" w:name="案件增长三大驱动力"/>
    <w:p>
      <w:pPr>
        <w:pStyle w:val="Heading3"/>
      </w:pPr>
      <w:r>
        <w:t xml:space="preserve">1.1.2 案件增长三大驱动力</w:t>
      </w:r>
    </w:p>
    <w:p>
      <w:pPr>
        <w:pStyle w:val="FirstParagraph"/>
      </w:pPr>
      <w:r>
        <w:t xml:space="preserve">案件持续攀升存在三重结构性驱动因素。第一，经济结构调整。部分行业面临转型压力，企业通过裁员、调岗、降薪等操作控制成本，引发大量劳资矛盾。劳动关系研究者指出，争议增长的深层原因在于企业用工合规意识与劳动者维权意识之间的落差，其中中小企业尤甚</w:t>
      </w:r>
      <w:r>
        <w:rPr>
          <w:vertAlign w:val="superscript"/>
        </w:rPr>
        <w:footnoteReference w:id="34"/>
      </w:r>
      <w:r>
        <w:t xml:space="preserve">。</w:t>
      </w:r>
    </w:p>
    <w:p>
      <w:pPr>
        <w:pStyle w:val="BodyText"/>
      </w:pPr>
      <w:r>
        <w:t xml:space="preserve">第二，劳动者维权意识显著提升。北京朝阳法院与朝阳区劳动仲裁院2023年联合发布的白皮书显示，35岁以下涉诉劳动者占比从三年前的19.56%上升至27.86%</w:t>
      </w:r>
      <w:r>
        <w:rPr>
          <w:vertAlign w:val="superscript"/>
        </w:rPr>
        <w:footnoteReference w:id="35"/>
      </w:r>
      <w:r>
        <w:t xml:space="preserve">。以”80后”</w:t>
      </w:r>
      <w:r>
        <w:t xml:space="preserve">“</w:t>
      </w:r>
      <w:r>
        <w:t xml:space="preserve">90后</w:t>
      </w:r>
      <w:r>
        <w:t xml:space="preserve">”</w:t>
      </w:r>
      <w:r>
        <w:t xml:space="preserve">为代表的新生代劳动者法律意识和信息获取能力均显著高于上一代，更倾向于通过法律途径维权而非隐忍。</w:t>
      </w:r>
    </w:p>
    <w:p>
      <w:pPr>
        <w:pStyle w:val="BodyText"/>
      </w:pPr>
      <w:r>
        <w:t xml:space="preserve">第三，新就业形态的快速发展催生了新型劳动争议。全国总工会数据显示，中国新就业形态劳动者（New Employment Form Workers，包括外卖配送员、网约车司机、网络主播等）已达8{,}400万人，占职工总数约21%</w:t>
      </w:r>
      <w:fldSimple w:instr="NOTEREF _Ref_Footnote_8 \h \f">
        <w:r>
          <w:rPr>
            <w:vertAlign w:val="superscript"/>
          </w:rPr>
          <w:t>8</w:t>
        </w:r>
      </w:fldSimple>
      <w:r>
        <w:t xml:space="preserve">。平台用工模式下的劳动关系认定模糊、社保缴纳不规范等问题，使这一群体成为劳动争议的”高发区”。</w:t>
      </w:r>
    </w:p>
    <w:bookmarkEnd w:id="30"/>
    <w:bookmarkStart w:id="31" w:name="主要争议类型分布"/>
    <w:p>
      <w:pPr>
        <w:pStyle w:val="Heading3"/>
      </w:pPr>
      <w:r>
        <w:t xml:space="preserve">1.1.3 主要争议类型分布</w:t>
      </w:r>
    </w:p>
    <w:p>
      <w:pPr>
        <w:pStyle w:val="FirstParagraph"/>
      </w:pPr>
      <w:r>
        <w:t xml:space="preserve">劳动人事争议的案件类型呈现相对集中的分布格局。综合人社部数据及多家律所的实务分析，争议原因可归纳为四大类：工资拖欠（含克扣工资、奖金）占比约35%，社会保险与公积金纠纷占比约25%，违法解除劳动合同占比约20%，加班费及经济补偿金争议占比约15%</w:t>
      </w:r>
      <w:fldSimple w:instr="NOTEREF _Ref_Footnote_16 \h \f">
        <w:r>
          <w:rPr>
            <w:vertAlign w:val="superscript"/>
          </w:rPr>
          <w:t>16</w:t>
        </w:r>
      </w:fldSimple>
      <w:r>
        <w:t xml:space="preserve"> </w:t>
      </w:r>
      <w:fldSimple w:instr="NOTEREF _Ref_Footnote_17 \h \f">
        <w:r>
          <w:rPr>
            <w:vertAlign w:val="superscript"/>
          </w:rPr>
          <w:t>17</w:t>
        </w:r>
      </w:fldSimple>
      <w:r>
        <w:t xml:space="preserve">。工资拖欠和违法解除两类争议合计占比达55%，且涉及赔偿金计算（N+1、2N）和证据收集等劳动者普遍感到困难的环节，正是AI法律智能体可以发挥核心价值的高频场景。</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年份</w:t>
            </w:r>
          </w:p>
        </w:tc>
        <w:tc>
          <w:tcPr/>
          <w:p>
            <w:pPr>
              <w:pStyle w:val="Compact"/>
              <w:jc w:val="center"/>
            </w:pPr>
            <w:r>
              <w:t xml:space="preserve">案件数量（万件）</w:t>
            </w:r>
          </w:p>
        </w:tc>
        <w:tc>
          <w:tcPr/>
          <w:p>
            <w:pPr>
              <w:pStyle w:val="Compact"/>
              <w:jc w:val="center"/>
            </w:pPr>
            <w:r>
              <w:t xml:space="preserve">涉及劳动者（万人）</w:t>
            </w:r>
          </w:p>
        </w:tc>
        <w:tc>
          <w:tcPr/>
          <w:p>
            <w:pPr>
              <w:pStyle w:val="Compact"/>
              <w:jc w:val="center"/>
            </w:pPr>
            <w:r>
              <w:t xml:space="preserve">结案金额（亿元）</w:t>
            </w:r>
          </w:p>
        </w:tc>
        <w:tc>
          <w:tcPr/>
          <w:p>
            <w:pPr>
              <w:pStyle w:val="Compact"/>
              <w:jc w:val="center"/>
            </w:pPr>
            <w:r>
              <w:t xml:space="preserve">同比增长</w:t>
            </w:r>
          </w:p>
        </w:tc>
        <w:tc>
          <w:tcPr/>
          <w:p>
            <w:pPr>
              <w:pStyle w:val="Compact"/>
              <w:jc w:val="center"/>
            </w:pPr>
            <w:r>
              <w:t xml:space="preserve">调解成功率</w:t>
            </w:r>
          </w:p>
        </w:tc>
      </w:tr>
      <w:tr>
        <w:tc>
          <w:tcPr/>
          <w:p>
            <w:pPr>
              <w:pStyle w:val="Compact"/>
              <w:jc w:val="center"/>
            </w:pPr>
            <w:r>
              <w:t xml:space="preserve">2019</w:t>
            </w:r>
          </w:p>
        </w:tc>
        <w:tc>
          <w:tcPr/>
          <w:p>
            <w:pPr>
              <w:pStyle w:val="Compact"/>
              <w:jc w:val="center"/>
            </w:pPr>
            <w:r>
              <w:t xml:space="preserve">211.9</w:t>
            </w:r>
          </w:p>
        </w:tc>
        <w:tc>
          <w:tcPr/>
          <w:p>
            <w:pPr>
              <w:pStyle w:val="Compact"/>
              <w:jc w:val="center"/>
            </w:pPr>
            <w:r>
              <w:t xml:space="preserve">238.1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2020</w:t>
            </w:r>
          </w:p>
        </w:tc>
        <w:tc>
          <w:tcPr/>
          <w:p>
            <w:pPr>
              <w:pStyle w:val="Compact"/>
              <w:jc w:val="center"/>
            </w:pPr>
            <w:r>
              <w:t xml:space="preserve">221.8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+4.7%</w:t>
            </w:r>
          </w:p>
        </w:tc>
        <w:tc>
          <w:tcPr/>
          <w:p>
            <w:pPr>
              <w:pStyle w:val="Compact"/>
              <w:jc w:val="center"/>
            </w:pPr>
            <w:r>
              <w:t xml:space="preserve">—</w:t>
            </w:r>
          </w:p>
        </w:tc>
      </w:tr>
      <w:tr>
        <w:tc>
          <w:tcPr/>
          <w:p>
            <w:pPr>
              <w:pStyle w:val="Compact"/>
              <w:jc w:val="center"/>
            </w:pPr>
            <w:r>
              <w:t xml:space="preserve">2021</w:t>
            </w:r>
          </w:p>
        </w:tc>
        <w:tc>
          <w:tcPr/>
          <w:p>
            <w:pPr>
              <w:pStyle w:val="Compact"/>
              <w:jc w:val="center"/>
            </w:pPr>
            <w:r>
              <w:t xml:space="preserve">263.1</w:t>
            </w:r>
          </w:p>
        </w:tc>
        <w:tc>
          <w:tcPr/>
          <w:p>
            <w:pPr>
              <w:pStyle w:val="Compact"/>
              <w:jc w:val="center"/>
            </w:pPr>
            <w:r>
              <w:t xml:space="preserve">285.8</w:t>
            </w:r>
          </w:p>
        </w:tc>
        <w:tc>
          <w:tcPr/>
          <w:p>
            <w:pPr>
              <w:pStyle w:val="Compact"/>
              <w:jc w:val="center"/>
            </w:pPr>
            <w:r>
              <w:t xml:space="preserve">576.3</w:t>
            </w:r>
          </w:p>
        </w:tc>
        <w:tc>
          <w:tcPr/>
          <w:p>
            <w:pPr>
              <w:pStyle w:val="Compact"/>
              <w:jc w:val="center"/>
            </w:pPr>
            <w:r>
              <w:t xml:space="preserve">+18.6%</w:t>
            </w:r>
          </w:p>
        </w:tc>
        <w:tc>
          <w:tcPr/>
          <w:p>
            <w:pPr>
              <w:pStyle w:val="Compact"/>
              <w:jc w:val="center"/>
            </w:pPr>
            <w:r>
              <w:t xml:space="preserve">73.3%</w:t>
            </w:r>
          </w:p>
        </w:tc>
      </w:tr>
      <w:tr>
        <w:tc>
          <w:tcPr/>
          <w:p>
            <w:pPr>
              <w:pStyle w:val="Compact"/>
              <w:jc w:val="center"/>
            </w:pPr>
            <w:r>
              <w:t xml:space="preserve">2022</w:t>
            </w:r>
          </w:p>
        </w:tc>
        <w:tc>
          <w:tcPr/>
          <w:p>
            <w:pPr>
              <w:pStyle w:val="Compact"/>
              <w:jc w:val="center"/>
            </w:pPr>
            <w:r>
              <w:t xml:space="preserve">316.2</w:t>
            </w:r>
          </w:p>
        </w:tc>
        <w:tc>
          <w:tcPr/>
          <w:p>
            <w:pPr>
              <w:pStyle w:val="Compact"/>
              <w:jc w:val="center"/>
            </w:pPr>
            <w:r>
              <w:t xml:space="preserve">341.3</w:t>
            </w:r>
          </w:p>
        </w:tc>
        <w:tc>
          <w:tcPr/>
          <w:p>
            <w:pPr>
              <w:pStyle w:val="Compact"/>
              <w:jc w:val="center"/>
            </w:pPr>
            <w:r>
              <w:t xml:space="preserve">682.2</w:t>
            </w:r>
          </w:p>
        </w:tc>
        <w:tc>
          <w:tcPr/>
          <w:p>
            <w:pPr>
              <w:pStyle w:val="Compact"/>
              <w:jc w:val="center"/>
            </w:pPr>
            <w:r>
              <w:t xml:space="preserve">+20.2%</w:t>
            </w:r>
          </w:p>
        </w:tc>
        <w:tc>
          <w:tcPr/>
          <w:p>
            <w:pPr>
              <w:pStyle w:val="Compact"/>
              <w:jc w:val="center"/>
            </w:pPr>
            <w:r>
              <w:t xml:space="preserve">75.1%</w:t>
            </w:r>
          </w:p>
        </w:tc>
      </w:tr>
      <w:tr>
        <w:tc>
          <w:tcPr/>
          <w:p>
            <w:pPr>
              <w:pStyle w:val="Compact"/>
              <w:jc w:val="center"/>
            </w:pPr>
            <w:r>
              <w:t xml:space="preserve">2023</w:t>
            </w:r>
          </w:p>
        </w:tc>
        <w:tc>
          <w:tcPr/>
          <w:p>
            <w:pPr>
              <w:pStyle w:val="Compact"/>
              <w:jc w:val="center"/>
            </w:pPr>
            <w:r>
              <w:t xml:space="preserve">385.0</w:t>
            </w:r>
          </w:p>
        </w:tc>
        <w:tc>
          <w:tcPr/>
          <w:p>
            <w:pPr>
              <w:pStyle w:val="Compact"/>
              <w:jc w:val="center"/>
            </w:pPr>
            <w:r>
              <w:t xml:space="preserve">408.2</w:t>
            </w:r>
          </w:p>
        </w:tc>
        <w:tc>
          <w:tcPr/>
          <w:p>
            <w:pPr>
              <w:pStyle w:val="Compact"/>
              <w:jc w:val="center"/>
            </w:pPr>
            <w:r>
              <w:t xml:space="preserve">829.9</w:t>
            </w:r>
          </w:p>
        </w:tc>
        <w:tc>
          <w:tcPr/>
          <w:p>
            <w:pPr>
              <w:pStyle w:val="Compact"/>
              <w:jc w:val="center"/>
            </w:pPr>
            <w:r>
              <w:t xml:space="preserve">+21.8%</w:t>
            </w:r>
          </w:p>
        </w:tc>
        <w:tc>
          <w:tcPr/>
          <w:p>
            <w:pPr>
              <w:pStyle w:val="Compact"/>
              <w:jc w:val="center"/>
            </w:pPr>
            <w:r>
              <w:t xml:space="preserve">77.7%</w:t>
            </w:r>
          </w:p>
        </w:tc>
      </w:tr>
      <w:tr>
        <w:tc>
          <w:tcPr/>
          <w:p>
            <w:pPr>
              <w:pStyle w:val="Compact"/>
              <w:jc w:val="center"/>
            </w:pPr>
            <w:r>
              <w:t xml:space="preserve">2024</w:t>
            </w:r>
          </w:p>
        </w:tc>
        <w:tc>
          <w:tcPr/>
          <w:p>
            <w:pPr>
              <w:pStyle w:val="Compact"/>
              <w:jc w:val="center"/>
            </w:pPr>
            <w:r>
              <w:t xml:space="preserve">425.7</w:t>
            </w:r>
          </w:p>
        </w:tc>
        <w:tc>
          <w:tcPr/>
          <w:p>
            <w:pPr>
              <w:pStyle w:val="Compact"/>
              <w:jc w:val="center"/>
            </w:pPr>
            <w:r>
              <w:t xml:space="preserve">454.9</w:t>
            </w:r>
          </w:p>
        </w:tc>
        <w:tc>
          <w:tcPr/>
          <w:p>
            <w:pPr>
              <w:pStyle w:val="Compact"/>
              <w:jc w:val="center"/>
            </w:pPr>
            <w:r>
              <w:t xml:space="preserve">934.7</w:t>
            </w:r>
          </w:p>
        </w:tc>
        <w:tc>
          <w:tcPr/>
          <w:p>
            <w:pPr>
              <w:pStyle w:val="Compact"/>
              <w:jc w:val="center"/>
            </w:pPr>
            <w:r>
              <w:t xml:space="preserve">+10.6%</w:t>
            </w:r>
          </w:p>
        </w:tc>
        <w:tc>
          <w:tcPr/>
          <w:p>
            <w:pPr>
              <w:pStyle w:val="Compact"/>
              <w:jc w:val="center"/>
            </w:pPr>
            <w:r>
              <w:t xml:space="preserve">79.6%</w:t>
            </w:r>
          </w:p>
        </w:tc>
      </w:tr>
    </w:tbl>
    <w:p>
      <w:pPr>
        <w:pStyle w:val="BodyText"/>
      </w:pPr>
      <w:r>
        <w:t xml:space="preserve">上表数据源自人社部历年统计公报</w:t>
      </w:r>
      <w:fldSimple w:instr="NOTEREF _Ref_Footnote_1 \h \f">
        <w:r>
          <w:rPr>
            <w:vertAlign w:val="superscript"/>
          </w:rPr>
          <w:t>1</w:t>
        </w:r>
      </w:fldSimple>
      <w:r>
        <w:t xml:space="preserve"> </w:t>
      </w:r>
      <w:fldSimple w:instr="NOTEREF _Ref_Footnote_2 \h \f">
        <w:r>
          <w:rPr>
            <w:vertAlign w:val="superscript"/>
          </w:rPr>
          <w:t>2</w:t>
        </w:r>
      </w:fldSimple>
      <w:r>
        <w:t xml:space="preserve">。结案金额从2021年的576.3亿元增至2024年的934.7亿元，三年增幅达62.2%，反映单案平均标的金额在同步上升。调解成功率从73.3%持续升至79.6%，意味着大量争议在调解阶段即已化解——这一特征提示，劳动者在争议初期对”快速评估自身权益”和”了解合理预期”存在强需求。</w:t>
      </w:r>
    </w:p>
    <w:bookmarkEnd w:id="31"/>
    <w:bookmarkEnd w:id="32"/>
    <w:bookmarkStart w:id="36" w:name="目标用户画像与需求验证"/>
    <w:p>
      <w:pPr>
        <w:pStyle w:val="Heading2"/>
      </w:pPr>
      <w:r>
        <w:t xml:space="preserve">1.2 目标用户画像与需求验证</w:t>
      </w:r>
    </w:p>
    <w:bookmarkStart w:id="33" w:name="申请人画像年轻化的白领与新业态劳动者"/>
    <w:p>
      <w:pPr>
        <w:pStyle w:val="Heading3"/>
      </w:pPr>
      <w:r>
        <w:t xml:space="preserve">1.2.1 申请人画像：年轻化的白领与新业态劳动者</w:t>
      </w:r>
    </w:p>
    <w:p>
      <w:pPr>
        <w:pStyle w:val="FirstParagraph"/>
      </w:pPr>
      <w:r>
        <w:t xml:space="preserve">劳动仲裁申请人的 demographic profile（人口统计学特征）呈现三个显著特征。年龄结构趋于年轻化。北京朝阳法院白皮书数据显示，35岁以下涉诉劳动者占比三年内从19.56%上升至27.86%</w:t>
      </w:r>
      <w:fldSimple w:instr="NOTEREF _Ref_Footnote_35 \h \f">
        <w:r>
          <w:rPr>
            <w:vertAlign w:val="superscript"/>
          </w:rPr>
          <w:t>35</w:t>
        </w:r>
      </w:fldSimple>
      <w:r>
        <w:t xml:space="preserve">，杭州高新区的实务观察亦佐证40岁以下为维权主力</w:t>
      </w:r>
      <w:r>
        <w:rPr>
          <w:vertAlign w:val="superscript"/>
        </w:rPr>
        <w:footnoteReference w:id="36"/>
      </w:r>
      <w:r>
        <w:t xml:space="preserve">。新生代劳动者权利意识更强、职业流动频率更高，遭遇并主张维权的可能性同步增加。</w:t>
      </w:r>
    </w:p>
    <w:p>
      <w:pPr>
        <w:pStyle w:val="BodyText"/>
      </w:pPr>
      <w:r>
        <w:t xml:space="preserve">职业构成以白领和新业态劳动者为主。40岁以下维权者中”很多是公司的白领”，学历相对较高</w:t>
      </w:r>
      <w:fldSimple w:instr="NOTEREF _Ref_Footnote_36 \h \f">
        <w:r>
          <w:rPr>
            <w:vertAlign w:val="superscript"/>
          </w:rPr>
          <w:t>36</w:t>
        </w:r>
      </w:fldSimple>
      <w:r>
        <w:t xml:space="preserve">。与此同时，外卖配送员、网络主播等新就业形态劳动者维权数量”大幅增加”</w:t>
      </w:r>
      <w:fldSimple w:instr="NOTEREF _Ref_Footnote_36 \h \f">
        <w:r>
          <w:rPr>
            <w:vertAlign w:val="superscript"/>
          </w:rPr>
          <w:t>36</w:t>
        </w:r>
      </w:fldSimple>
      <w:r>
        <w:t xml:space="preserve">，与8{,}400万新就业形态劳动者的庞大基数直接相关——平台用工模式下劳动关系认定模糊、社保缴纳不规范，使这一群体成为争议”高发区”。</w:t>
      </w:r>
    </w:p>
    <w:p>
      <w:pPr>
        <w:pStyle w:val="BodyText"/>
      </w:pPr>
      <w:r>
        <w:t xml:space="preserve">学历与维权意愿呈正相关。中国社会科学院的研究表明，与小学以下文化程度相比，高中及以上学历者的维权意愿差异显著，更倾向于选择劳动仲裁、诉讼等官方渠道，而非”退出”策略</w:t>
      </w:r>
      <w:r>
        <w:rPr>
          <w:vertAlign w:val="superscript"/>
        </w:rPr>
        <w:footnoteReference w:id="37"/>
      </w:r>
      <w:r>
        <w:t xml:space="preserve">。这一发现对目标用户定位具有关键意义：劳动仲裁智能体的核心受众是具备基本读写能力、有意愿通过正式渠道维权的中等学历群体。</w:t>
      </w:r>
    </w:p>
    <w:bookmarkEnd w:id="33"/>
    <w:bookmarkStart w:id="34" w:name="用户付费意愿价格敏感型市场"/>
    <w:p>
      <w:pPr>
        <w:pStyle w:val="Heading3"/>
      </w:pPr>
      <w:r>
        <w:t xml:space="preserve">1.2.2 用户付费意愿：价格敏感型市场</w:t>
      </w:r>
    </w:p>
    <w:p>
      <w:pPr>
        <w:pStyle w:val="FirstParagraph"/>
      </w:pPr>
      <w:r>
        <w:t xml:space="preserve">劳动者群体的付费意愿和能力直接决定了产品的定价策略。从付费能力看，申请人多为中低收入群体，争议标的额通常在几千至几万元之间，与商业律师3{,}000-8{,}000元的代理费形成鲜明对比</w:t>
      </w:r>
      <w:r>
        <w:rPr>
          <w:vertAlign w:val="superscript"/>
        </w:rPr>
        <w:footnoteReference w:id="38"/>
      </w:r>
      <w:r>
        <w:t xml:space="preserve">。除深圳等极少数地区外，律师费一般由劳动者自行承担</w:t>
      </w:r>
      <w:r>
        <w:rPr>
          <w:vertAlign w:val="superscript"/>
        </w:rPr>
        <w:footnoteReference w:id="39"/>
      </w:r>
      <w:r>
        <w:t xml:space="preserve">。</w:t>
      </w:r>
    </w:p>
    <w:p>
      <w:pPr>
        <w:pStyle w:val="BodyText"/>
      </w:pPr>
      <w:r>
        <w:t xml:space="preserve">从付费意愿看，综合多项调研，劳动者对法律服务的可接受价格集中在50-500元区间，单次咨询50-200元、文书代写100-500元被视为”合理”范围</w:t>
      </w:r>
      <w:fldSimple w:instr="NOTEREF _Ref_Footnote_15 \h \f">
        <w:r>
          <w:rPr>
            <w:vertAlign w:val="superscript"/>
          </w:rPr>
          <w:t>15</w:t>
        </w:r>
      </w:fldSimple>
      <w:r>
        <w:t xml:space="preserve">。这一价格敏感特征与维权成本结构直接相关：劳动者维权成本（含交通费、误工费、律师费等）至少三倍于直接经济收益，走完全部程序时间至少需一年以上</w:t>
      </w:r>
      <w:r>
        <w:rPr>
          <w:vertAlign w:val="superscript"/>
        </w:rPr>
        <w:footnoteReference w:id="40"/>
      </w:r>
      <w:r>
        <w:t xml:space="preserve">。</w:t>
      </w:r>
    </w:p>
    <w:p>
      <w:pPr>
        <w:pStyle w:val="BodyText"/>
      </w:pPr>
      <w:r>
        <w:t xml:space="preserve">从替代方案看，大量劳动者转向免费咨询、网络搜索、社交媒体等低成本信息渠道。百度法行宝截至2024年12月已服务940万用户、回答1{,}660万个法律问题</w:t>
      </w:r>
      <w:r>
        <w:rPr>
          <w:vertAlign w:val="superscript"/>
        </w:rPr>
        <w:footnoteReference w:id="41"/>
      </w:r>
      <w:r>
        <w:t xml:space="preserve">，印证了劳动者对免费法律信息服务的庞大需求。AI法律咨询的接受度存在显著的年龄分层：18-35岁群体相对开放，55岁以上更为保守；即便法律专业人士中也有近70%持保留态度</w:t>
      </w:r>
      <w:r>
        <w:rPr>
          <w:vertAlign w:val="superscript"/>
        </w:rPr>
        <w:footnoteReference w:id="42"/>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用户维度</w:t>
            </w:r>
          </w:p>
        </w:tc>
        <w:tc>
          <w:tcPr/>
          <w:p>
            <w:pPr>
              <w:pStyle w:val="Compact"/>
              <w:jc w:val="left"/>
            </w:pPr>
            <w:r>
              <w:t xml:space="preserve">特征描述</w:t>
            </w:r>
          </w:p>
        </w:tc>
        <w:tc>
          <w:tcPr/>
          <w:p>
            <w:pPr>
              <w:pStyle w:val="Compact"/>
              <w:jc w:val="left"/>
            </w:pPr>
            <w:r>
              <w:t xml:space="preserve">数据依据</w:t>
            </w:r>
          </w:p>
        </w:tc>
      </w:tr>
      <w:tr>
        <w:tc>
          <w:tcPr/>
          <w:p>
            <w:pPr>
              <w:pStyle w:val="Compact"/>
              <w:jc w:val="left"/>
            </w:pPr>
            <w:r>
              <w:t xml:space="preserve">年龄分布</w:t>
            </w:r>
          </w:p>
        </w:tc>
        <w:tc>
          <w:tcPr/>
          <w:p>
            <w:pPr>
              <w:pStyle w:val="Compact"/>
              <w:jc w:val="left"/>
            </w:pPr>
            <w:r>
              <w:t xml:space="preserve">以35岁以下青壮年为主，占比从19.56%升至27.86%，呈年轻化趋势</w:t>
            </w:r>
          </w:p>
        </w:tc>
        <w:tc>
          <w:tcPr/>
          <w:p>
            <w:pPr>
              <w:pStyle w:val="Compact"/>
              <w:jc w:val="left"/>
            </w:pPr>
            <w:r>
              <w:t xml:space="preserve">北京朝阳法院白皮书</w:t>
            </w:r>
            <w:fldSimple w:instr="NOTEREF _Ref_Footnote_35 \h \f">
              <w:r>
                <w:rPr>
                  <w:vertAlign w:val="superscript"/>
                </w:rPr>
                <w:t>35</w:t>
              </w:r>
            </w:fldSimple>
          </w:p>
        </w:tc>
      </w:tr>
      <w:tr>
        <w:tc>
          <w:tcPr/>
          <w:p>
            <w:pPr>
              <w:pStyle w:val="Compact"/>
              <w:jc w:val="left"/>
            </w:pPr>
            <w:r>
              <w:t xml:space="preserve">学历水平</w:t>
            </w:r>
          </w:p>
        </w:tc>
        <w:tc>
          <w:tcPr/>
          <w:p>
            <w:pPr>
              <w:pStyle w:val="Compact"/>
              <w:jc w:val="left"/>
            </w:pPr>
            <w:r>
              <w:t xml:space="preserve">高中及以上学历维权意愿显著更强，倾向官方渠道维权</w:t>
            </w:r>
          </w:p>
        </w:tc>
        <w:tc>
          <w:tcPr/>
          <w:p>
            <w:pPr>
              <w:pStyle w:val="Compact"/>
              <w:jc w:val="left"/>
            </w:pPr>
            <w:r>
              <w:t xml:space="preserve">中国社会科学院研究</w:t>
            </w:r>
            <w:fldSimple w:instr="NOTEREF _Ref_Footnote_37 \h \f">
              <w:r>
                <w:rPr>
                  <w:vertAlign w:val="superscript"/>
                </w:rPr>
                <w:t>37</w:t>
              </w:r>
            </w:fldSimple>
          </w:p>
        </w:tc>
      </w:tr>
      <w:tr>
        <w:tc>
          <w:tcPr/>
          <w:p>
            <w:pPr>
              <w:pStyle w:val="Compact"/>
              <w:jc w:val="left"/>
            </w:pPr>
            <w:r>
              <w:t xml:space="preserve">职业类型</w:t>
            </w:r>
          </w:p>
        </w:tc>
        <w:tc>
          <w:tcPr/>
          <w:p>
            <w:pPr>
              <w:pStyle w:val="Compact"/>
              <w:jc w:val="left"/>
            </w:pPr>
            <w:r>
              <w:t xml:space="preserve">公司白领为主，新业态劳动者（外卖员、快递员、主播）快速增长</w:t>
            </w:r>
          </w:p>
        </w:tc>
        <w:tc>
          <w:tcPr/>
          <w:p>
            <w:pPr>
              <w:pStyle w:val="Compact"/>
              <w:jc w:val="left"/>
            </w:pPr>
            <w:r>
              <w:t xml:space="preserve">杭州高新区仲裁实务观察</w:t>
            </w:r>
            <w:fldSimple w:instr="NOTEREF _Ref_Footnote_36 \h \f">
              <w:r>
                <w:rPr>
                  <w:vertAlign w:val="superscript"/>
                </w:rPr>
                <w:t>36</w:t>
              </w:r>
            </w:fldSimple>
          </w:p>
        </w:tc>
      </w:tr>
      <w:tr>
        <w:tc>
          <w:tcPr/>
          <w:p>
            <w:pPr>
              <w:pStyle w:val="Compact"/>
              <w:jc w:val="left"/>
            </w:pPr>
            <w:r>
              <w:t xml:space="preserve">收入层次</w:t>
            </w:r>
          </w:p>
        </w:tc>
        <w:tc>
          <w:tcPr/>
          <w:p>
            <w:pPr>
              <w:pStyle w:val="Compact"/>
              <w:jc w:val="left"/>
            </w:pPr>
            <w:r>
              <w:t xml:space="preserve">多为中低收入群体，争议标的额通常数千至数万元</w:t>
            </w:r>
          </w:p>
        </w:tc>
        <w:tc>
          <w:tcPr/>
          <w:p>
            <w:pPr>
              <w:pStyle w:val="Compact"/>
              <w:jc w:val="left"/>
            </w:pPr>
            <w:r>
              <w:t xml:space="preserve">综合多项调研</w:t>
            </w:r>
            <w:fldSimple w:instr="NOTEREF _Ref_Footnote_38 \h \f">
              <w:r>
                <w:rPr>
                  <w:vertAlign w:val="superscript"/>
                </w:rPr>
                <w:t>38</w:t>
              </w:r>
            </w:fldSimple>
          </w:p>
        </w:tc>
      </w:tr>
      <w:tr>
        <w:tc>
          <w:tcPr/>
          <w:p>
            <w:pPr>
              <w:pStyle w:val="Compact"/>
              <w:jc w:val="left"/>
            </w:pPr>
            <w:r>
              <w:t xml:space="preserve">维权经验</w:t>
            </w:r>
          </w:p>
        </w:tc>
        <w:tc>
          <w:tcPr/>
          <w:p>
            <w:pPr>
              <w:pStyle w:val="Compact"/>
              <w:jc w:val="left"/>
            </w:pPr>
            <w:r>
              <w:t xml:space="preserve">绝大多数为首次维权，缺乏法律知识和程序经验</w:t>
            </w:r>
          </w:p>
        </w:tc>
        <w:tc>
          <w:tcPr/>
          <w:p>
            <w:pPr>
              <w:pStyle w:val="Compact"/>
              <w:jc w:val="left"/>
            </w:pPr>
            <w:r>
              <w:t xml:space="preserve">北京信之源律所调查</w:t>
            </w:r>
            <w:r>
              <w:rPr>
                <w:vertAlign w:val="superscript"/>
              </w:rPr>
              <w:footnoteReference w:id="43"/>
            </w:r>
          </w:p>
        </w:tc>
      </w:tr>
      <w:tr>
        <w:tc>
          <w:tcPr/>
          <w:p>
            <w:pPr>
              <w:pStyle w:val="Compact"/>
              <w:jc w:val="left"/>
            </w:pPr>
            <w:r>
              <w:t xml:space="preserve">付费意愿</w:t>
            </w:r>
          </w:p>
        </w:tc>
        <w:tc>
          <w:tcPr/>
          <w:p>
            <w:pPr>
              <w:pStyle w:val="Compact"/>
              <w:jc w:val="left"/>
            </w:pPr>
            <w:r>
              <w:t xml:space="preserve">偏好免费或50-500元低价服务，对3000元以上律师费敏感</w:t>
            </w:r>
          </w:p>
        </w:tc>
        <w:tc>
          <w:tcPr/>
          <w:p>
            <w:pPr>
              <w:pStyle w:val="Compact"/>
              <w:jc w:val="left"/>
            </w:pPr>
            <w:r>
              <w:t xml:space="preserve">用户调研与商业模式分析</w:t>
            </w:r>
            <w:fldSimple w:instr="NOTEREF _Ref_Footnote_15 \h \f">
              <w:r>
                <w:rPr>
                  <w:vertAlign w:val="superscript"/>
                </w:rPr>
                <w:t>15</w:t>
              </w:r>
            </w:fldSimple>
          </w:p>
        </w:tc>
      </w:tr>
      <w:tr>
        <w:tc>
          <w:tcPr/>
          <w:p>
            <w:pPr>
              <w:pStyle w:val="Compact"/>
              <w:jc w:val="left"/>
            </w:pPr>
            <w:r>
              <w:t xml:space="preserve">信息渠道</w:t>
            </w:r>
          </w:p>
        </w:tc>
        <w:tc>
          <w:tcPr/>
          <w:p>
            <w:pPr>
              <w:pStyle w:val="Compact"/>
              <w:jc w:val="left"/>
            </w:pPr>
            <w:r>
              <w:t xml:space="preserve">优先选择搜索引擎、社交平台、免费AI咨询，律师为最后选项</w:t>
            </w:r>
          </w:p>
        </w:tc>
        <w:tc>
          <w:tcPr/>
          <w:p>
            <w:pPr>
              <w:pStyle w:val="Compact"/>
              <w:jc w:val="left"/>
            </w:pPr>
            <w:r>
              <w:t xml:space="preserve">法行宝940万用户数据</w:t>
            </w:r>
            <w:fldSimple w:instr="NOTEREF _Ref_Footnote_41 \h \f">
              <w:r>
                <w:rPr>
                  <w:vertAlign w:val="superscript"/>
                </w:rPr>
                <w:t>41</w:t>
              </w:r>
            </w:fldSimple>
          </w:p>
        </w:tc>
      </w:tr>
    </w:tbl>
    <w:p>
      <w:pPr>
        <w:pStyle w:val="BodyText"/>
      </w:pPr>
      <w:r>
        <w:t xml:space="preserve">上表汇总了目标用户的多维画像。劳动仲裁智能体面临的是一个”强需求但低付费意愿”的市场：每年有数百万劳动者首次踏入陌生的仲裁程序，对流程指导和文书准备存在刚性信息需求；但传统律师服务价格超出其承受范围，而现有免费渠道信息质量参差不齐、缺乏结构化。这一供需落差正是智能体产品的切入点。</w:t>
      </w:r>
    </w:p>
    <w:bookmarkEnd w:id="34"/>
    <w:bookmarkStart w:id="35" w:name="维权行为特征高放弃率与心理恐惧"/>
    <w:p>
      <w:pPr>
        <w:pStyle w:val="Heading3"/>
      </w:pPr>
      <w:r>
        <w:t xml:space="preserve">1.2.3 维权行为特征：高放弃率与心理恐惧</w:t>
      </w:r>
    </w:p>
    <w:p>
      <w:pPr>
        <w:pStyle w:val="FirstParagraph"/>
      </w:pPr>
      <w:r>
        <w:t xml:space="preserve">劳动者从纠纷发生到实际申请仲裁之间存在显著的”维权漏斗”效应。中国青年报社会调查显示，当遇到加班后未能按标准拿到加班工资时，多达56.2%的受访者选择忍气吞声，仅13.6%选择向劳动保障部门投诉</w:t>
      </w:r>
      <w:fldSimple w:instr="NOTEREF _Ref_Footnote_10 \h \f">
        <w:r>
          <w:rPr>
            <w:vertAlign w:val="superscript"/>
          </w:rPr>
          <w:t>10</w:t>
        </w:r>
      </w:fldSimple>
      <w:r>
        <w:t xml:space="preserve">。</w:t>
      </w:r>
      <w:r>
        <w:t xml:space="preserve">“</w:t>
      </w:r>
      <w:r>
        <w:t xml:space="preserve">用人单位太强势</w:t>
      </w:r>
      <w:r>
        <w:t xml:space="preserve">”</w:t>
      </w:r>
      <w:r>
        <w:t xml:space="preserve">（60.4%）、</w:t>
      </w:r>
      <w:r>
        <w:t xml:space="preserve">“</w:t>
      </w:r>
      <w:r>
        <w:t xml:space="preserve">保护力度不够</w:t>
      </w:r>
      <w:r>
        <w:t xml:space="preserve">”</w:t>
      </w:r>
      <w:r>
        <w:t xml:space="preserve">（49.7%）、</w:t>
      </w:r>
      <w:r>
        <w:t xml:space="preserve">“</w:t>
      </w:r>
      <w:r>
        <w:t xml:space="preserve">工作不好找不能因小失大</w:t>
      </w:r>
      <w:r>
        <w:t xml:space="preserve">”</w:t>
      </w:r>
      <w:r>
        <w:t xml:space="preserve">（45.6%）位列不敢维权的前三位原因</w:t>
      </w:r>
      <w:fldSimple w:instr="NOTEREF _Ref_Footnote_10 \h \f">
        <w:r>
          <w:rPr>
            <w:vertAlign w:val="superscript"/>
          </w:rPr>
          <w:t>10</w:t>
        </w:r>
      </w:fldSimple>
      <w:r>
        <w:t xml:space="preserve">。Berkeley Labor Center的研究进一步指出，中国劳动者在面对劳动争议时普遍存在”胆怯-屈从-依附-自保”的行为模式</w:t>
      </w:r>
      <w:r>
        <w:rPr>
          <w:vertAlign w:val="superscript"/>
        </w:rPr>
        <w:footnoteReference w:id="44"/>
      </w:r>
      <w:r>
        <w:t xml:space="preserve">。</w:t>
      </w:r>
    </w:p>
    <w:p>
      <w:pPr>
        <w:pStyle w:val="BodyText"/>
      </w:pPr>
      <w:r>
        <w:t xml:space="preserve">从行为路径看，劳动者标准维权流程为：收集证据→内部协商→投诉/调解→申请仲裁→诉讼</w:t>
      </w:r>
      <w:r>
        <w:rPr>
          <w:vertAlign w:val="superscript"/>
        </w:rPr>
        <w:footnoteReference w:id="45"/>
      </w:r>
      <w:r>
        <w:t xml:space="preserve">。超过60%的纠纷在协商调解阶段得到解决[^59fayi^]，但大量劳动者在”第一步”即已放弃——考勤记录、工资条等关键证据通常由用人单位掌控，劳动者往往只能提供零星的、不完整的证据</w:t>
      </w:r>
      <w:r>
        <w:rPr>
          <w:vertAlign w:val="superscript"/>
        </w:rPr>
        <w:footnoteReference w:id="46"/>
      </w:r>
      <w:r>
        <w:t xml:space="preserve">。超过80%的劳动者在证据收集阶段遇到困难，31.4%的电子证据因取证不当而丧失法律效力</w:t>
      </w:r>
      <w:fldSimple w:instr="NOTEREF _Ref_Footnote_11 \h \f">
        <w:r>
          <w:rPr>
            <w:vertAlign w:val="superscript"/>
          </w:rPr>
          <w:t>11</w:t>
        </w:r>
      </w:fldSimple>
      <w:r>
        <w:t xml:space="preserve"> </w:t>
      </w:r>
      <w:fldSimple w:instr="NOTEREF _Ref_Footnote_12 \h \f">
        <w:r>
          <w:rPr>
            <w:vertAlign w:val="superscript"/>
          </w:rPr>
          <w:t>12</w:t>
        </w:r>
      </w:fldSimple>
      <w:r>
        <w:t xml:space="preserve">。这一痛点正是AI智能体可以发挥差异化价值的核心地带：通过结构化证据清单和分步骤采集指导，将”知道了但做不到”转化为”可执行的行动方案”。</w:t>
      </w:r>
    </w:p>
    <w:bookmarkEnd w:id="35"/>
    <w:bookmarkEnd w:id="36"/>
    <w:bookmarkStart w:id="40" w:name="市场缺口与机会定位"/>
    <w:p>
      <w:pPr>
        <w:pStyle w:val="Heading2"/>
      </w:pPr>
      <w:r>
        <w:t xml:space="preserve">1.3 市场缺口与机会定位</w:t>
      </w:r>
    </w:p>
    <w:bookmarkStart w:id="37" w:name="法律援助覆盖不足300万案件的结构性缺口"/>
    <w:p>
      <w:pPr>
        <w:pStyle w:val="Heading3"/>
      </w:pPr>
      <w:r>
        <w:t xml:space="preserve">1.3.1 法律援助覆盖不足：300万+案件的结构性缺口</w:t>
      </w:r>
    </w:p>
    <w:p>
      <w:pPr>
        <w:pStyle w:val="FirstParagraph"/>
      </w:pPr>
      <w:r>
        <w:t xml:space="preserve">中国已建立起规模庞大的法律援助（Legal Aid）体系。司法部数据显示，2023年全国法律援助机构共组织办理农民工法律援助案件48万件，为54万农民工追索劳动报酬68亿元</w:t>
      </w:r>
      <w:fldSimple w:instr="NOTEREF _Ref_Footnote_9 \h \f">
        <w:r>
          <w:rPr>
            <w:vertAlign w:val="superscript"/>
          </w:rPr>
          <w:t>9</w:t>
        </w:r>
      </w:fldSimple>
      <w:r>
        <w:t xml:space="preserve">。各地依托59万个公共法律服务实体平台、7万个法律援助工作站和33万个法律援助联络点，基本形成了”半小时服务圈”</w:t>
      </w:r>
      <w:fldSimple w:instr="NOTEREF _Ref_Footnote_9 \h \f">
        <w:r>
          <w:rPr>
            <w:vertAlign w:val="superscript"/>
          </w:rPr>
          <w:t>9</w:t>
        </w:r>
      </w:fldSimple>
      <w:r>
        <w:t xml:space="preserve">。</w:t>
      </w:r>
    </w:p>
    <w:p>
      <w:pPr>
        <w:pStyle w:val="BodyText"/>
      </w:pPr>
      <w:r>
        <w:t xml:space="preserve">然而从覆盖率角度审视，法援体系存在显著的结构性缺口。2023年全国劳动仲裁案件总量为385万件，法援覆盖的48万件仅占约12.5%；2024年覆盖率预计仍在11%-13%区间。每年约有300万至380万件案件的当事人未能获得法援服务。这些收入超出法援经济困难标准、但又无力承担商业律师费的”夹心层”劳动者，正是劳动仲裁智能体的核心目标用户</w:t>
      </w:r>
      <w:r>
        <w:rPr>
          <w:vertAlign w:val="superscript"/>
        </w:rPr>
        <w:footnoteReference w:id="47"/>
      </w:r>
      <w:r>
        <w:t xml:space="preserve">。</w:t>
      </w:r>
    </w:p>
    <w:bookmarkEnd w:id="37"/>
    <w:bookmarkStart w:id="38" w:name="竞品空白分析劳动仲裁专项功能的全面缺失"/>
    <w:p>
      <w:pPr>
        <w:pStyle w:val="Heading3"/>
      </w:pPr>
      <w:r>
        <w:t xml:space="preserve">1.3.2 竞品空白分析：劳动仲裁专项功能的全面缺失</w:t>
      </w:r>
    </w:p>
    <w:p>
      <w:pPr>
        <w:pStyle w:val="FirstParagraph"/>
      </w:pPr>
      <w:r>
        <w:t xml:space="preserve">中国法律AI市场已进入快速成长期。据《2025年中国法律科技发展报告》，国内法律AI工具用户数突破500万，律师事务所渗透率达72%</w:t>
      </w:r>
      <w:fldSimple w:instr="NOTEREF _Ref_Footnote_3 \h \f">
        <w:r>
          <w:rPr>
            <w:vertAlign w:val="superscript"/>
          </w:rPr>
          <w:t>3</w:t>
        </w:r>
      </w:fldSimple>
      <w:r>
        <w:t xml:space="preserve">。然而，在劳动仲裁这一细分领域，产品覆盖呈现明显的”通用有余、专精不足”格局。</w:t>
      </w:r>
    </w:p>
    <w:p>
      <w:pPr>
        <w:pStyle w:val="BodyText"/>
      </w:pPr>
      <w:r>
        <w:t xml:space="preserve">对市场上10余款主要AI法律产品进行功能对比后发现：通义法睿、法行宝、ChatLaw、北大法宝、智律云等产品均提供劳动法相关咨询和文书生成，但无一产品专门针对劳动仲裁场景提供完整解决方案</w:t>
      </w:r>
      <w:fldSimple w:instr="NOTEREF _Ref_Footnote_3 \h \f">
        <w:r>
          <w:rPr>
            <w:vertAlign w:val="superscript"/>
          </w:rPr>
          <w:t>3</w:t>
        </w:r>
      </w:fldSimple>
      <w:r>
        <w:t xml:space="preserve"> </w:t>
      </w:r>
      <w:fldSimple w:instr="NOTEREF _Ref_Footnote_4 \h \f">
        <w:r>
          <w:rPr>
            <w:vertAlign w:val="superscript"/>
          </w:rPr>
          <w:t>4</w:t>
        </w:r>
      </w:fldSimple>
      <w:r>
        <w:t xml:space="preserve">。具体而言，以下三项核心功能存在全面空白：</w:t>
      </w:r>
    </w:p>
    <w:tbl>
      <w:tblPr>
        <w:tblStyle w:val="Table"/>
        <w:tblW w:type="pct" w:w="5000"/>
        <w:tblLook w:firstRow="1" w:lastRow="0" w:firstColumn="0" w:lastColumn="0" w:noHBand="0" w:noVBand="0" w:val="0020"/>
      </w:tblPr>
      <w:tblGrid>
        <w:gridCol w:w="931"/>
        <w:gridCol w:w="1164"/>
        <w:gridCol w:w="1164"/>
        <w:gridCol w:w="1164"/>
        <w:gridCol w:w="1164"/>
        <w:gridCol w:w="1164"/>
        <w:gridCol w:w="1164"/>
      </w:tblGrid>
      <w:tr>
        <w:trPr>
          <w:tblHeader w:val="true"/>
        </w:trPr>
        <w:tc>
          <w:tcPr/>
          <w:p>
            <w:pPr>
              <w:pStyle w:val="Compact"/>
              <w:jc w:val="left"/>
            </w:pPr>
            <w:r>
              <w:t xml:space="preserve">功能维度</w:t>
            </w:r>
          </w:p>
        </w:tc>
        <w:tc>
          <w:tcPr/>
          <w:p>
            <w:pPr>
              <w:pStyle w:val="Compact"/>
              <w:jc w:val="center"/>
            </w:pPr>
            <w:r>
              <w:t xml:space="preserve">通义法睿</w:t>
            </w:r>
          </w:p>
        </w:tc>
        <w:tc>
          <w:tcPr/>
          <w:p>
            <w:pPr>
              <w:pStyle w:val="Compact"/>
              <w:jc w:val="center"/>
            </w:pPr>
            <w:r>
              <w:t xml:space="preserve">法行宝</w:t>
            </w:r>
          </w:p>
        </w:tc>
        <w:tc>
          <w:tcPr/>
          <w:p>
            <w:pPr>
              <w:pStyle w:val="Compact"/>
              <w:jc w:val="center"/>
            </w:pPr>
            <w:r>
              <w:t xml:space="preserve">ChatLaw</w:t>
            </w:r>
          </w:p>
        </w:tc>
        <w:tc>
          <w:tcPr/>
          <w:p>
            <w:pPr>
              <w:pStyle w:val="Compact"/>
              <w:jc w:val="center"/>
            </w:pPr>
            <w:r>
              <w:t xml:space="preserve">北大法宝</w:t>
            </w:r>
          </w:p>
        </w:tc>
        <w:tc>
          <w:tcPr/>
          <w:p>
            <w:pPr>
              <w:pStyle w:val="Compact"/>
              <w:jc w:val="center"/>
            </w:pPr>
            <w:r>
              <w:t xml:space="preserve">智律云</w:t>
            </w:r>
          </w:p>
        </w:tc>
        <w:tc>
          <w:tcPr/>
          <w:p>
            <w:pPr>
              <w:pStyle w:val="Compact"/>
              <w:jc w:val="center"/>
            </w:pPr>
            <w:r>
              <w:t xml:space="preserve">市场空白评级</w:t>
            </w:r>
          </w:p>
        </w:tc>
      </w:tr>
      <w:tr>
        <w:tc>
          <w:tcPr/>
          <w:p>
            <w:pPr>
              <w:pStyle w:val="Compact"/>
              <w:jc w:val="left"/>
            </w:pPr>
            <w:r>
              <w:t xml:space="preserve">劳动合同起草</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劳动仲裁文书生成</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赔偿金计算（N/N+1/2N）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证据清单智能生成</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仲裁流程引导</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劳动法规检索</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类案检索</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注：✅表示支持，⚠️表示功能有限，❌表示不支持。空白评级基于功能重要程度与覆盖缺失程度的综合评估。</w:t>
      </w:r>
    </w:p>
    <w:p>
      <w:pPr>
        <w:pStyle w:val="BodyText"/>
      </w:pPr>
      <w:r>
        <w:t xml:space="preserve">上表揭示了一个关键的市场空白：赔偿金计算和证据清单生成是当前所有竞品均未覆盖的”五星空白”功能。以赔偿金计算为例，其涉及工作年限、月平均工资、社平工资三倍封顶、N与2N的定性区分等复杂规则，大模型对此准确率存在明显短板——测试显示，大模型对”违法解除”定性不够敏感，倾向按N而非2N计算</w:t>
      </w:r>
      <w:r>
        <w:rPr>
          <w:vertAlign w:val="superscript"/>
        </w:rPr>
        <w:footnoteReference w:id="48"/>
      </w:r>
      <w:r>
        <w:t xml:space="preserve">。以证据清单生成而言，73%的劳动争议涉及电子证据，但31.4%因取证操作不当失效</w:t>
      </w:r>
      <w:fldSimple w:instr="NOTEREF _Ref_Footnote_11 \h \f">
        <w:r>
          <w:rPr>
            <w:vertAlign w:val="superscript"/>
          </w:rPr>
          <w:t>11</w:t>
        </w:r>
      </w:fldSimple>
      <w:r>
        <w:t xml:space="preserve"> </w:t>
      </w:r>
      <w:fldSimple w:instr="NOTEREF _Ref_Footnote_12 \h \f">
        <w:r>
          <w:rPr>
            <w:vertAlign w:val="superscript"/>
          </w:rPr>
          <w:t>12</w:t>
        </w:r>
      </w:fldSimple>
      <w:r>
        <w:t xml:space="preserve">，市场上却没有一款产品能根据具体案情自动匹配所需证据并提供采集指导。</w:t>
      </w:r>
    </w:p>
    <w:p>
      <w:pPr>
        <w:pStyle w:val="BodyText"/>
      </w:pPr>
      <w:r>
        <w:t xml:space="preserve">国际市场亦呈现相同格局。Harvey AI（融资8.06亿美元）和CoCounsel（100万+专业人士使用）均定位为面向律所的专业平台</w:t>
      </w:r>
      <w:r>
        <w:rPr>
          <w:vertAlign w:val="superscript"/>
        </w:rPr>
        <w:footnoteReference w:id="49"/>
      </w:r>
      <w:r>
        <w:t xml:space="preserve"> </w:t>
      </w:r>
      <w:r>
        <w:rPr>
          <w:vertAlign w:val="superscript"/>
        </w:rPr>
        <w:footnoteReference w:id="50"/>
      </w:r>
      <w:r>
        <w:t xml:space="preserve">，不提供劳动仲裁工具。DoNotPay虽面向消费者，但功能集中于停车罚单等小额场景</w:t>
      </w:r>
      <w:r>
        <w:rPr>
          <w:vertAlign w:val="superscript"/>
        </w:rPr>
        <w:footnoteReference w:id="51"/>
      </w:r>
      <w:r>
        <w:t xml:space="preserve">，且2025年1月因虚假宣传被美国联邦贸易委员会（FTC）处罚，为行业敲响合规警钟。</w:t>
      </w:r>
    </w:p>
    <w:bookmarkEnd w:id="38"/>
    <w:bookmarkStart w:id="39" w:name="tam估算60亿-400亿元的潜在市场"/>
    <w:p>
      <w:pPr>
        <w:pStyle w:val="Heading3"/>
      </w:pPr>
      <w:r>
        <w:t xml:space="preserve">1.3.3 TAM估算：60亿-400亿元的潜在市场</w:t>
      </w:r>
    </w:p>
    <w:p>
      <w:pPr>
        <w:pStyle w:val="FirstParagraph"/>
      </w:pPr>
      <w:r>
        <w:t xml:space="preserve">基于上述市场数据，可对劳动仲裁法律服务的潜在市场规模（Total Addressable Market, TAM）进行分层估算。2024年全国劳动仲裁案件425.7万件，涉及劳动者454.9万人。扣除调解成功案件（约79.6%在调解阶段化解）和法援覆盖人群（约48万农民工），核心服务对象为约300-400万未被法援覆盖、需要辅助性法律服务的中低收入劳动者</w:t>
      </w:r>
      <w:fldSimple w:instr="NOTEREF _Ref_Footnote_1 \h \f">
        <w:r>
          <w:rPr>
            <w:vertAlign w:val="superscript"/>
          </w:rPr>
          <w:t>1</w:t>
        </w:r>
      </w:fldSimple>
      <w:r>
        <w:t xml:space="preserve"> </w:t>
      </w:r>
      <w:fldSimple w:instr="NOTEREF _Ref_Footnote_9 \h \f">
        <w:r>
          <w:rPr>
            <w:vertAlign w:val="superscript"/>
          </w:rPr>
          <w:t>9</w:t>
        </w:r>
      </w:fldSimple>
      <w:r>
        <w:t xml:space="preserve">。按人均可承受法律服务支出200-1{,}000元计算，TAM约为60亿-400亿元；付费意愿较强的可服务市场（Serviceable Addressable Market, SAM）估计为100-150万人，对应市场规模约20-50亿元</w:t>
      </w:r>
      <w:fldSimple w:instr="NOTEREF _Ref_Footnote_15 \h \f">
        <w:r>
          <w:rPr>
            <w:vertAlign w:val="superscript"/>
          </w:rPr>
          <w:t>15</w:t>
        </w:r>
      </w:fldSimple>
      <w:r>
        <w:t xml:space="preserve">。该估算基于渗透率和3-8%付费转化率等假设，实际规模可能因地区差异而波动。</w:t>
      </w:r>
    </w:p>
    <w:p>
      <w:pPr>
        <w:pStyle w:val="BodyText"/>
      </w:pPr>
      <w:r>
        <w:t xml:space="preserve">从操作性视角，市场机会可按三种模式切分。其一，C端工具付费：面向annual 300-400万新进入仲裁程序的劳动者，提供单次评估（9.9-49元）、文书生成（49-199元）等阶梯产品，按3-8%转化率估算年营收空间约1-5亿元。其二，B端企业合规服务：中国企业劳动仲裁败诉率普遍在70%以上</w:t>
      </w:r>
      <w:r>
        <w:rPr>
          <w:vertAlign w:val="superscript"/>
        </w:rPr>
        <w:footnoteReference w:id="52"/>
      </w:r>
      <w:r>
        <w:t xml:space="preserve">，单次赔偿数万元至数十万元，企业对预防性合规工具的付费意愿远高于劳动者个体。其三，增值服务：可信时间戳存证（30元/次，已被31个省市采信</w:t>
      </w:r>
      <w:r>
        <w:rPr>
          <w:vertAlign w:val="superscript"/>
        </w:rPr>
        <w:footnoteReference w:id="53"/>
      </w:r>
      <w:r>
        <w:t xml:space="preserve">）、律师转介（行业惯例10-20%</w:t>
      </w:r>
      <w:r>
        <w:rPr>
          <w:vertAlign w:val="superscript"/>
        </w:rPr>
        <w:footnoteReference w:id="54"/>
      </w:r>
      <w:r>
        <w:t xml:space="preserve">）等构成边际收入来源。</w:t>
      </w:r>
    </w:p>
    <w:p>
      <w:pPr>
        <w:pStyle w:val="BodyText"/>
      </w:pPr>
      <w:r>
        <w:t xml:space="preserve">综合来看，劳动仲裁法律服务智能体面临的是一个”高增长、大缺口、弱竞争”的市场窗口：案件总量以年均15%的速度持续膨胀，法律援助覆盖不足留下300万+案件的服务缺口，而现有AI法律产品均无劳动仲裁专项功能。这一三重叠加的市场条件，为专注劳动仲裁场景的垂直AI产品提供了结构性进入机会。</w:t>
      </w:r>
    </w:p>
    <w:p>
      <w:r>
        <w:pict>
          <v:rect style="width:0;height:1.5pt" o:hralign="center" o:hrstd="t" o:hr="t"/>
        </w:pict>
      </w:r>
    </w:p>
    <w:bookmarkEnd w:id="39"/>
    <w:bookmarkEnd w:id="40"/>
    <w:bookmarkEnd w:id="41"/>
    <w:bookmarkStart w:id="122" w:name="产品形态设计"/>
    <w:p>
      <w:pPr>
        <w:pStyle w:val="Heading1"/>
      </w:pPr>
      <w:r>
        <w:t xml:space="preserve">2. 产品形态设计</w:t>
      </w:r>
    </w:p>
    <w:bookmarkStart w:id="45" w:name="产品定位与核心价值主张"/>
    <w:p>
      <w:pPr>
        <w:pStyle w:val="Heading2"/>
      </w:pPr>
      <w:r>
        <w:t xml:space="preserve">2.1 产品定位与核心价值主张</w:t>
      </w:r>
    </w:p>
    <w:bookmarkStart w:id="42" w:name="差异化定位劳动者的第一份法律行动指南"/>
    <w:p>
      <w:pPr>
        <w:pStyle w:val="Heading3"/>
      </w:pPr>
      <w:r>
        <w:t xml:space="preserve">2.1.1 差异化定位：</w:t>
      </w:r>
      <w:r>
        <w:t xml:space="preserve">“</w:t>
      </w:r>
      <w:r>
        <w:t xml:space="preserve">劳动者的第一份法律行动指南</w:t>
      </w:r>
      <w:r>
        <w:t xml:space="preserve">”</w:t>
      </w:r>
    </w:p>
    <w:p>
      <w:pPr>
        <w:pStyle w:val="FirstParagraph"/>
      </w:pPr>
      <w:r>
        <w:t xml:space="preserve">在劳动仲裁法律服务市场中，现有AI产品几乎无一例外地将自己定位为”法律咨询机器人”——用户提问，AI回答。百度法行宝已服务940万用户、回答1{,}660万个法律问题</w:t>
      </w:r>
      <w:fldSimple w:instr="NOTEREF _Ref_Footnote_41 \h \f">
        <w:r>
          <w:rPr>
            <w:vertAlign w:val="superscript"/>
          </w:rPr>
          <w:t>41</w:t>
        </w:r>
      </w:fldSimple>
      <w:r>
        <w:t xml:space="preserve">，通义法睿、ChatLaw等通用法律AI亦遵循相同交互范式</w:t>
      </w:r>
      <w:fldSimple w:instr="NOTEREF _Ref_Footnote_3 \h \f">
        <w:r>
          <w:rPr>
            <w:vertAlign w:val="superscript"/>
          </w:rPr>
          <w:t>3</w:t>
        </w:r>
      </w:fldSimple>
      <w:r>
        <w:t xml:space="preserve">。然而，前一章的分析揭示了一个关键事实：56.2%的劳动者在权益受损时选择忍气吞声</w:t>
      </w:r>
      <w:fldSimple w:instr="NOTEREF _Ref_Footnote_10 \h \f">
        <w:r>
          <w:rPr>
            <w:vertAlign w:val="superscript"/>
          </w:rPr>
          <w:t>10</w:t>
        </w:r>
      </w:fldSimple>
      <w:r>
        <w:t xml:space="preserve">，超过80%的劳动者在证据收集阶段遇到困难</w:t>
      </w:r>
      <w:fldSimple w:instr="NOTEREF _Ref_Footnote_11 \h \f">
        <w:r>
          <w:rPr>
            <w:vertAlign w:val="superscript"/>
          </w:rPr>
          <w:t>11</w:t>
        </w:r>
      </w:fldSimple>
      <w:r>
        <w:t xml:space="preserve">，31.4%的电子证据因取证操作不当而丧失法律效力</w:t>
      </w:r>
      <w:fldSimple w:instr="NOTEREF _Ref_Footnote_12 \h \f">
        <w:r>
          <w:rPr>
            <w:vertAlign w:val="superscript"/>
          </w:rPr>
          <w:t>12</w:t>
        </w:r>
      </w:fldSimple>
      <w:r>
        <w:t xml:space="preserve">。这组数据的隐含命题是——用户需要的不是”知道答案”，而是”知道怎么做”。</w:t>
      </w:r>
    </w:p>
    <w:p>
      <w:pPr>
        <w:pStyle w:val="BodyText"/>
      </w:pPr>
      <w:r>
        <w:t xml:space="preserve">基于此，劳动仲裁智能体的核心定位应为</w:t>
      </w:r>
      <w:r>
        <w:rPr>
          <w:bCs/>
          <w:b/>
        </w:rPr>
        <w:t xml:space="preserve">“</w:t>
      </w:r>
      <w:r>
        <w:rPr>
          <w:bCs/>
          <w:b/>
        </w:rPr>
        <w:t xml:space="preserve">劳动者的第一份法律行动指南</w:t>
      </w:r>
      <w:r>
        <w:rPr>
          <w:bCs/>
          <w:b/>
        </w:rPr>
        <w:t xml:space="preserve">”</w:t>
      </w:r>
      <w:r>
        <w:rPr>
          <w:bCs/>
          <w:b/>
        </w:rPr>
        <w:t xml:space="preserve">（Labor Action Guide）</w:t>
      </w:r>
      <w:r>
        <w:t xml:space="preserve">，其核心价值不在于提供法律条文的解释，而在于将抽象的权利转化为可执行的步骤。产品的目标用户不是寻求法律专业意见的”咨询者”，而是面临具体纠纷、需要明确”下一步做什么”的”行动者”。这一定位直接回应了维权漏斗中最尖锐的痛点：大量劳动者在争议发生后因”不知道从何入手”而在第一步即放弃维权</w:t>
      </w:r>
      <w:fldSimple w:instr="NOTEREF _Ref_Footnote_45 \h \f">
        <w:r>
          <w:rPr>
            <w:vertAlign w:val="superscript"/>
          </w:rPr>
          <w:t>45</w:t>
        </w:r>
      </w:fldSimple>
      <w:r>
        <w:t xml:space="preserve">。</w:t>
      </w:r>
    </w:p>
    <w:p>
      <w:pPr>
        <w:pStyle w:val="BodyText"/>
      </w:pPr>
      <w:r>
        <w:t xml:space="preserve">“</w:t>
      </w:r>
      <w:r>
        <w:t xml:space="preserve">行动指南</w:t>
      </w:r>
      <w:r>
        <w:t xml:space="preserve">”</w:t>
      </w:r>
      <w:r>
        <w:t xml:space="preserve">定位与传统法律咨询存在本质差异。传统法律咨询的输出是”信息”——告知用户有哪些权利、适用哪些法条；而行动指南的输出是”方案”——针对用户具体案情，生成一份包含证据清单、金额计算、时间规划和材料准备的完整执行计划。百度文库中维权流程图的高下载量已验证了劳动者对步骤化指导的强烈需求。从用户心智角度审视，</w:t>
      </w:r>
      <w:r>
        <w:t xml:space="preserve">“</w:t>
      </w:r>
      <w:r>
        <w:t xml:space="preserve">行动指南</w:t>
      </w:r>
      <w:r>
        <w:t xml:space="preserve">”</w:t>
      </w:r>
      <w:r>
        <w:t xml:space="preserve">比”法律顾问”更易被初次维权者接受——它降低了用户对产品专业性的心理门槛，同时明确了产品的工具属性而非服务属性，这在合规层面亦具有边界清晰的优势。</w:t>
      </w:r>
    </w:p>
    <w:bookmarkEnd w:id="42"/>
    <w:bookmarkStart w:id="43" w:name="从法律咨询到执行工具的范式转移"/>
    <w:p>
      <w:pPr>
        <w:pStyle w:val="Heading3"/>
      </w:pPr>
      <w:r>
        <w:t xml:space="preserve">2.1.2 从”法律咨询”到”执行工具”的范式转移</w:t>
      </w:r>
    </w:p>
    <w:p>
      <w:pPr>
        <w:pStyle w:val="FirstParagraph"/>
      </w:pPr>
      <w:r>
        <w:t xml:space="preserve">劳动者维权过程中存在三层递进需求：第一层是答案类需求——</w:t>
      </w:r>
      <w:r>
        <w:t xml:space="preserve">“</w:t>
      </w:r>
      <w:r>
        <w:t xml:space="preserve">公司这样做合法吗</w:t>
      </w:r>
      <w:r>
        <w:t xml:space="preserve">”</w:t>
      </w:r>
      <w:r>
        <w:t xml:space="preserve">“</w:t>
      </w:r>
      <w:r>
        <w:t xml:space="preserve">我能拿到多少赔偿</w:t>
      </w:r>
      <w:r>
        <w:t xml:space="preserve">”</w:t>
      </w:r>
      <w:r>
        <w:t xml:space="preserve">；第二层是流程类需求——</w:t>
      </w:r>
      <w:r>
        <w:t xml:space="preserve">“</w:t>
      </w:r>
      <w:r>
        <w:t xml:space="preserve">怎么申请劳动仲裁</w:t>
      </w:r>
      <w:r>
        <w:t xml:space="preserve">”</w:t>
      </w:r>
      <w:r>
        <w:t xml:space="preserve">“</w:t>
      </w:r>
      <w:r>
        <w:t xml:space="preserve">需要什么材料</w:t>
      </w:r>
      <w:r>
        <w:t xml:space="preserve">”</w:t>
      </w:r>
      <w:r>
        <w:t xml:space="preserve">；第三层是执行方案类需求——</w:t>
      </w:r>
      <w:r>
        <w:t xml:space="preserve">“</w:t>
      </w:r>
      <w:r>
        <w:t xml:space="preserve">仲裁申请书怎么写</w:t>
      </w:r>
      <w:r>
        <w:t xml:space="preserve">”</w:t>
      </w:r>
      <w:r>
        <w:t xml:space="preserve">“</w:t>
      </w:r>
      <w:r>
        <w:t xml:space="preserve">证据怎么整理</w:t>
      </w:r>
      <w:r>
        <w:t xml:space="preserve">”</w:t>
      </w:r>
      <w:fldSimple w:instr="NOTEREF _Ref_Footnote_42 \h \f">
        <w:r>
          <w:rPr>
            <w:vertAlign w:val="superscript"/>
          </w:rPr>
          <w:t>42</w:t>
        </w:r>
      </w:fldSimple>
      <w:r>
        <w:t xml:space="preserve">。现有AI法律产品主要覆盖前两层，而第三层——将法律知识转化为物理世界操作的桥梁——恰好是竞争空白。</w:t>
      </w:r>
    </w:p>
    <w:p>
      <w:pPr>
        <w:pStyle w:val="BodyText"/>
      </w:pPr>
      <w:r>
        <w:t xml:space="preserve">这一范式转移的产品化含义是：</w:t>
      </w:r>
      <w:r>
        <w:rPr>
          <w:bCs/>
          <w:b/>
        </w:rPr>
        <w:t xml:space="preserve">产品的基本交互单元不应是”问答对”，而应是”任务清单”</w:t>
      </w:r>
      <w:r>
        <w:t xml:space="preserve">。当用户描述被公司违法辞退的案情后，产品输出的核心不应是一段解释N+1和2N区别的文字，而是一份动态生成的行动清单：（1）需要收集的8类证据及每类证据的获取方式和紧急程度标注；（2）经济补偿金的精确计算结果，包括计算基数、工作年限认定和当地社平工资三倍封顶规则；（3）当地仲裁委的立案渠道和特殊要求；（4）仲裁申请书的自动填充模板；（5）关键时效节点的自动提醒。劳动者最需要的是”可执行的步骤清单”，这是百度法行宝的四层服务模式（案情分析+参考法规+类案推荐+行动建议）尚未完全实现的层次</w:t>
      </w:r>
      <w:fldSimple w:instr="NOTEREF _Ref_Footnote_41 \h \f">
        <w:r>
          <w:rPr>
            <w:vertAlign w:val="superscript"/>
          </w:rPr>
          <w:t>41</w:t>
        </w:r>
      </w:fldSimple>
      <w:r>
        <w:t xml:space="preserve">。</w:t>
      </w:r>
    </w:p>
    <w:p>
      <w:pPr>
        <w:pStyle w:val="BodyText"/>
      </w:pPr>
      <w:r>
        <w:t xml:space="preserve">从竞争维度审视，这一范式转移使产品的对标对象发生根本变化。MVP阶段的真实竞争对手不是通义法睿或法行宝这类专业法律AI，而是劳动者在遇到问题时的第一选择——百度搜索、知乎问答和小红书经验帖。产品只需比这些非专业信息源更可靠、更结构化，就能赢得用户。研究显示，产品形态应采用”超级计算器+流程向导”而非”AI对话机器人”，每个劳动仲裁问题类型应该是一个独立的着陆页</w:t>
      </w:r>
      <w:fldSimple w:instr="NOTEREF _Ref_Footnote_3 \h \f">
        <w:r>
          <w:rPr>
            <w:vertAlign w:val="superscript"/>
          </w:rPr>
          <w:t>3</w:t>
        </w:r>
      </w:fldSimple>
      <w:r>
        <w:t xml:space="preserve">。这种形态更契合劳动者通过搜索引擎发现服务的使用习惯。</w:t>
      </w:r>
    </w:p>
    <w:bookmarkEnd w:id="43"/>
    <w:bookmarkStart w:id="44" w:name="证据采集作为核心差异化点"/>
    <w:p>
      <w:pPr>
        <w:pStyle w:val="Heading3"/>
      </w:pPr>
      <w:r>
        <w:t xml:space="preserve">2.1.3 证据采集作为核心差异化点</w:t>
      </w:r>
    </w:p>
    <w:p>
      <w:pPr>
        <w:pStyle w:val="FirstParagraph"/>
      </w:pPr>
      <w:r>
        <w:t xml:space="preserve">在行动指南的定位框架下，证据采集模块构成最具竞争壁垒的差异化功能。研究数据显示，73%的劳动争议案件涉及电子证据，但31.4%的关键证据因取证不当而丧失法律效力</w:t>
      </w:r>
      <w:fldSimple w:instr="NOTEREF _Ref_Footnote_11 \h \f">
        <w:r>
          <w:rPr>
            <w:vertAlign w:val="superscript"/>
          </w:rPr>
          <w:t>11</w:t>
        </w:r>
      </w:fldSimple>
      <w:r>
        <w:t xml:space="preserve"> </w:t>
      </w:r>
      <w:fldSimple w:instr="NOTEREF _Ref_Footnote_12 \h \f">
        <w:r>
          <w:rPr>
            <w:vertAlign w:val="superscript"/>
          </w:rPr>
          <w:t>12</w:t>
        </w:r>
      </w:fldSimple>
      <w:r>
        <w:t xml:space="preserve">。考勤记录、工资条、工资支付凭证等关键证据通常由用人单位掌控，劳动者往往只能提供零星的、不完整的证据</w:t>
      </w:r>
      <w:fldSimple w:instr="NOTEREF _Ref_Footnote_46 \h \f">
        <w:r>
          <w:rPr>
            <w:vertAlign w:val="superscript"/>
          </w:rPr>
          <w:t>46</w:t>
        </w:r>
      </w:fldSimple>
      <w:r>
        <w:t xml:space="preserve">。很多公司的考勤打卡APP记录只对管理员开放，员工自己根本无法导出；加班审批在钉钉上仅口头通知，没有书面流程</w:t>
      </w:r>
      <w:fldSimple w:instr="NOTEREF _Ref_Footnote_43 \h \f">
        <w:r>
          <w:rPr>
            <w:vertAlign w:val="superscript"/>
          </w:rPr>
          <w:t>43</w:t>
        </w:r>
      </w:fldSimple>
      <w:r>
        <w:t xml:space="preserve">。</w:t>
      </w:r>
    </w:p>
    <w:p>
      <w:pPr>
        <w:pStyle w:val="BodyText"/>
      </w:pPr>
      <w:r>
        <w:t xml:space="preserve">更为关键的是，</w:t>
      </w:r>
      <w:r>
        <w:rPr>
          <w:bCs/>
          <w:b/>
        </w:rPr>
        <w:t xml:space="preserve">没有任何竞品提供完整的证据采集指导工具</w:t>
      </w:r>
      <w:r>
        <w:t xml:space="preserve">。通义法睿、法行宝、ChatLaw、北大法宝、智律云等10余款主要AI法律产品均不提供证据清单智能生成功能</w:t>
      </w:r>
      <w:fldSimple w:instr="NOTEREF _Ref_Footnote_3 \h \f">
        <w:r>
          <w:rPr>
            <w:vertAlign w:val="superscript"/>
          </w:rPr>
          <w:t>3</w:t>
        </w:r>
      </w:fldSimple>
      <w:r>
        <w:t xml:space="preserve"> </w:t>
      </w:r>
      <w:fldSimple w:instr="NOTEREF _Ref_Footnote_4 \h \f">
        <w:r>
          <w:rPr>
            <w:vertAlign w:val="superscript"/>
          </w:rPr>
          <w:t>4</w:t>
        </w:r>
      </w:fldSimple>
      <w:r>
        <w:t xml:space="preserve">。市场上仅有的相关产品是幂律智能推出的”吾律”AI律师，其可自动识别用户上传的证据材料并按”主体资格—合同关系—履约证明—违约事实—损失依据”逻辑生成证据目录</w:t>
      </w:r>
      <w:r>
        <w:rPr>
          <w:vertAlign w:val="superscript"/>
        </w:rPr>
        <w:footnoteReference w:id="55"/>
      </w:r>
      <w:r>
        <w:t xml:space="preserve">，但该产品定位于通用法律AI，未针对劳动仲裁场景进行专门优化。</w:t>
      </w:r>
    </w:p>
    <w:p>
      <w:pPr>
        <w:pStyle w:val="BodyText"/>
      </w:pPr>
      <w:r>
        <w:t xml:space="preserve">证据采集作为差异化切入点的战略价值在于三重壁垒。其一，</w:t>
      </w:r>
      <w:r>
        <w:rPr>
          <w:bCs/>
          <w:b/>
        </w:rPr>
        <w:t xml:space="preserve">知识壁垒</w:t>
      </w:r>
      <w:r>
        <w:t xml:space="preserve">：证据采集涉及8大类证据的收集方法、电子证据固定四步法（留存原始载体、保证内容完整、确认主体身份、及时固定）</w:t>
      </w:r>
      <w:r>
        <w:rPr>
          <w:vertAlign w:val="superscript"/>
        </w:rPr>
        <w:footnoteReference w:id="56"/>
      </w:r>
      <w:r>
        <w:t xml:space="preserve"> </w:t>
      </w:r>
      <w:r>
        <w:rPr>
          <w:vertAlign w:val="superscript"/>
        </w:rPr>
        <w:footnoteReference w:id="57"/>
      </w:r>
      <w:r>
        <w:t xml:space="preserve">、可信时间戳存证操作等专业知识，需要深度的领域知识工程。其二，</w:t>
      </w:r>
      <w:r>
        <w:rPr>
          <w:bCs/>
          <w:b/>
        </w:rPr>
        <w:t xml:space="preserve">流程壁垒</w:t>
      </w:r>
      <w:r>
        <w:t xml:space="preserve">：证据采集是物理世界操作，需要详细的分步骤指导、模板和工具集成（如权利卫士App的存证接口），这与法律咨询的纯信息输出形成鲜明区别。其三，</w:t>
      </w:r>
      <w:r>
        <w:rPr>
          <w:bCs/>
          <w:b/>
        </w:rPr>
        <w:t xml:space="preserve">合规壁垒</w:t>
      </w:r>
      <w:r>
        <w:t xml:space="preserve">：2025年《劳动争议司法解释（二）》首次系统性规定电子证据在劳动争议中的审查与认定规则</w:t>
      </w:r>
      <w:r>
        <w:rPr>
          <w:vertAlign w:val="superscript"/>
        </w:rPr>
        <w:footnoteReference w:id="58"/>
      </w:r>
      <w:r>
        <w:t xml:space="preserve">，产品围绕这些规则设计的采集指南具有先发优势——后进入者难以快速复制已积累的合规经验和用户信任。</w:t>
      </w:r>
    </w:p>
    <w:p>
      <w:pPr>
        <w:pStyle w:val="BodyText"/>
      </w:pPr>
      <w:r>
        <w:t xml:space="preserve">可信时间戳存证服务的集成是证据采集模块的商业化锚点。权利卫士App已被全国31个省/市/自治区的裁判文书采信，签发时间戳数量超过600亿次，费用约30元/次</w:t>
      </w:r>
      <w:fldSimple w:instr="NOTEREF _Ref_Footnote_13 \h \f">
        <w:r>
          <w:rPr>
            <w:vertAlign w:val="superscript"/>
          </w:rPr>
          <w:t>13</w:t>
        </w:r>
      </w:fldSimple>
      <w:r>
        <w:t xml:space="preserve"> </w:t>
      </w:r>
      <w:fldSimple w:instr="NOTEREF _Ref_Footnote_14 \h \f">
        <w:r>
          <w:rPr>
            <w:vertAlign w:val="superscript"/>
          </w:rPr>
          <w:t>14</w:t>
        </w:r>
      </w:fldSimple>
      <w:r>
        <w:t xml:space="preserve">——远低于传统公证300-1{,}000元的费用。将这一服务嵌入证据采集流程，既为用户提供了价值增值，也为产品创造了自然的付费转化节点。</w:t>
      </w:r>
    </w:p>
    <w:bookmarkEnd w:id="44"/>
    <w:bookmarkEnd w:id="45"/>
    <w:bookmarkStart w:id="52" w:name="功能架构设计"/>
    <w:p>
      <w:pPr>
        <w:pStyle w:val="Heading2"/>
      </w:pPr>
      <w:r>
        <w:t xml:space="preserve">2.2 功能架构设计</w:t>
      </w:r>
    </w:p>
    <w:bookmarkStart w:id="49" w:name="核心功能模块"/>
    <w:p>
      <w:pPr>
        <w:pStyle w:val="Heading3"/>
      </w:pPr>
      <w:r>
        <w:t xml:space="preserve">2.2.1 核心功能模块</w:t>
      </w:r>
    </w:p>
    <w:p>
      <w:pPr>
        <w:pStyle w:val="FirstParagraph"/>
      </w:pPr>
      <w:r>
        <w:t xml:space="preserve">基于上述定位，劳动仲裁智能体的功能架构由六个核心处理模块、两个支撑层和四个输出端组成（见下图）。</w:t>
      </w:r>
    </w:p>
    <w:p>
      <w:pPr>
        <w:pStyle w:val="CaptionedFigure"/>
      </w:pPr>
      <w:r>
        <w:drawing>
          <wp:inline>
            <wp:extent cx="5334000" cy="3799561"/>
            <wp:effectExtent b="0" l="0" r="0" t="0"/>
            <wp:docPr descr="劳动仲裁智能体功能模块架构图" title="" id="47" name="Picture"/>
            <a:graphic>
              <a:graphicData uri="http://schemas.openxmlformats.org/drawingml/2006/picture">
                <pic:pic>
                  <pic:nvPicPr>
                    <pic:cNvPr descr="labor_arb_chart_product.png" id="48" name="Picture"/>
                    <pic:cNvPicPr>
                      <a:picLocks noChangeArrowheads="1" noChangeAspect="1"/>
                    </pic:cNvPicPr>
                  </pic:nvPicPr>
                  <pic:blipFill>
                    <a:blip r:embed="rId46"/>
                    <a:stretch>
                      <a:fillRect/>
                    </a:stretch>
                  </pic:blipFill>
                  <pic:spPr bwMode="auto">
                    <a:xfrm>
                      <a:off x="0" y="0"/>
                      <a:ext cx="5334000" cy="3799561"/>
                    </a:xfrm>
                    <a:prstGeom prst="rect">
                      <a:avLst/>
                    </a:prstGeom>
                    <a:noFill/>
                    <a:ln w="9525">
                      <a:noFill/>
                      <a:headEnd/>
                      <a:tailEnd/>
                    </a:ln>
                  </pic:spPr>
                </pic:pic>
              </a:graphicData>
            </a:graphic>
          </wp:inline>
        </w:drawing>
      </w:r>
    </w:p>
    <w:p>
      <w:pPr>
        <w:pStyle w:val="ImageCaption"/>
      </w:pPr>
      <w:r>
        <w:t xml:space="preserve">劳动仲裁智能体功能模块架构图</w:t>
      </w:r>
    </w:p>
    <w:p>
      <w:pPr>
        <w:pStyle w:val="BodyText"/>
      </w:pPr>
      <w:r>
        <w:rPr>
          <w:bCs/>
          <w:b/>
        </w:rPr>
        <w:t xml:space="preserve">模块一：纠纷类型识别引擎</w:t>
      </w:r>
      <w:r>
        <w:t xml:space="preserve">。用户通过5-10道结构化选择题描述案情（如”争议类型”</w:t>
      </w:r>
      <w:r>
        <w:t xml:space="preserve">“</w:t>
      </w:r>
      <w:r>
        <w:t xml:space="preserve">工作年限</w:t>
      </w:r>
      <w:r>
        <w:t xml:space="preserve">”</w:t>
      </w:r>
      <w:r>
        <w:t xml:space="preserve">“</w:t>
      </w:r>
      <w:r>
        <w:t xml:space="preserve">是否签有劳动合同</w:t>
      </w:r>
      <w:r>
        <w:t xml:space="preserve">”</w:t>
      </w:r>
      <w:r>
        <w:t xml:space="preserve">“</w:t>
      </w:r>
      <w:r>
        <w:t xml:space="preserve">工资构成</w:t>
      </w:r>
      <w:r>
        <w:t xml:space="preserve">”</w:t>
      </w:r>
      <w:r>
        <w:t xml:space="preserve">等），系统基于决策树算法快速匹配争议类型（欠薪/违法解除/加班费/未签合同/社保纠纷），输出适用的法律条款、举证责任分配和初步行动建议。广州”穗小仲”DeepSeek智能体的实践表明，问题识别准确率可达95%以上，平均推理时间约10秒</w:t>
      </w:r>
      <w:r>
        <w:rPr>
          <w:vertAlign w:val="superscript"/>
        </w:rPr>
        <w:footnoteReference w:id="59"/>
      </w:r>
      <w:r>
        <w:t xml:space="preserve">。</w:t>
      </w:r>
    </w:p>
    <w:p>
      <w:pPr>
        <w:pStyle w:val="BodyText"/>
      </w:pPr>
      <w:r>
        <w:rPr>
          <w:bCs/>
          <w:b/>
        </w:rPr>
        <w:t xml:space="preserve">模块二：赔偿金估算引擎</w:t>
      </w:r>
      <w:r>
        <w:t xml:space="preserve">。针对不同争议类型，自动计算经济补偿金/赔偿金金额。以违法解除为例，引擎需综合处理工作年限、解除前12个月平均工资、当地上年度职工月平均工资三倍封顶规则，并区分N、N+1、2N的适用情形。该模块的地域适配是技术难点——经济补偿金计算基数是否包含加班费，北京和深圳持”包含”立场，上海和四川持”不包含”立场</w:t>
      </w:r>
      <w:fldSimple w:instr="NOTEREF _Ref_Footnote_6 \h \f">
        <w:r>
          <w:rPr>
            <w:vertAlign w:val="superscript"/>
          </w:rPr>
          <w:t>6</w:t>
        </w:r>
      </w:fldSimple>
      <w:r>
        <w:t xml:space="preserve"> </w:t>
      </w:r>
      <w:r>
        <w:rPr>
          <w:vertAlign w:val="superscript"/>
        </w:rPr>
        <w:footnoteReference w:id="60"/>
      </w:r>
      <w:r>
        <w:t xml:space="preserve">，引擎需根据用户所在地区自动匹配对应规则。</w:t>
      </w:r>
    </w:p>
    <w:p>
      <w:pPr>
        <w:pStyle w:val="BodyText"/>
      </w:pPr>
      <w:r>
        <w:rPr>
          <w:bCs/>
          <w:b/>
        </w:rPr>
        <w:t xml:space="preserve">模块三：证据清单智能生成</w:t>
      </w:r>
      <w:r>
        <w:t xml:space="preserve">。根据识别的争议类型，动态生成个性化证据清单。系统内置八大类核心证据体系（劳动关系证明、工资证明、沟通记录、解除证明、工时证据、社保记录、公司信息、其他辅助）</w:t>
      </w:r>
      <w:r>
        <w:rPr>
          <w:vertAlign w:val="superscript"/>
        </w:rPr>
        <w:footnoteReference w:id="61"/>
      </w:r>
      <w:r>
        <w:t xml:space="preserve">，逐项标注获取难度、紧急程度和证明力权重。例如，加班费争议需优先收集考勤记录和加班审批，而违法解除争议则需固定辞退通知和沟通记录。</w:t>
      </w:r>
    </w:p>
    <w:p>
      <w:pPr>
        <w:pStyle w:val="BodyText"/>
      </w:pPr>
      <w:r>
        <w:rPr>
          <w:bCs/>
          <w:b/>
        </w:rPr>
        <w:t xml:space="preserve">模块四：流程指引与节点管理</w:t>
      </w:r>
      <w:r>
        <w:t xml:space="preserve">。将劳动仲裁全流程可视化，标注每个节点的时限和注意事项。依据《劳动争议调解仲裁法》的规定，系统内置立案审查5个工作日、举证期限10个工作日、审理期限45日（可延长15日）等关键时限</w:t>
      </w:r>
      <w:fldSimple w:instr="NOTEREF _Ref_Footnote_33 \h \f">
        <w:r>
          <w:rPr>
            <w:vertAlign w:val="superscript"/>
          </w:rPr>
          <w:t>33</w:t>
        </w:r>
      </w:fldSimple>
      <w:r>
        <w:t xml:space="preserve">，并通过消息推送提供时效预警。各地特殊要求亦纳入系统——如北京要求证据格式为JPG/PNG/PDF且录音需另附文字材料</w:t>
      </w:r>
      <w:r>
        <w:rPr>
          <w:vertAlign w:val="superscript"/>
        </w:rPr>
        <w:footnoteReference w:id="62"/>
      </w:r>
      <w:r>
        <w:t xml:space="preserve">，深圳要求10个工作日内补充证据</w:t>
      </w:r>
      <w:r>
        <w:rPr>
          <w:vertAlign w:val="superscript"/>
        </w:rPr>
        <w:footnoteReference w:id="63"/>
      </w:r>
      <w:r>
        <w:t xml:space="preserve">。</w:t>
      </w:r>
    </w:p>
    <w:p>
      <w:pPr>
        <w:pStyle w:val="BodyText"/>
      </w:pPr>
      <w:r>
        <w:rPr>
          <w:bCs/>
          <w:b/>
        </w:rPr>
        <w:t xml:space="preserve">模块五：文书模板自动生成</w:t>
      </w:r>
      <w:r>
        <w:t xml:space="preserve">。通过引导式信息采集（对话式问卷），自动填充仲裁申请书模板。系统参考深圳市劳动仲裁文书范本和苏州市人社局模板</w:t>
      </w:r>
      <w:r>
        <w:rPr>
          <w:vertAlign w:val="superscript"/>
        </w:rPr>
        <w:footnoteReference w:id="64"/>
      </w:r>
      <w:r>
        <w:t xml:space="preserve"> </w:t>
      </w:r>
      <w:r>
        <w:rPr>
          <w:vertAlign w:val="superscript"/>
        </w:rPr>
        <w:footnoteReference w:id="65"/>
      </w:r>
      <w:r>
        <w:t xml:space="preserve">，在”请求事项”部分使用专门法律术语，在”事实与理由”部分遵循”点到即可”的撰写原则</w:t>
      </w:r>
      <w:fldSimple w:instr="NOTEREF _Ref_Footnote_64 \h \f">
        <w:r>
          <w:rPr>
            <w:vertAlign w:val="superscript"/>
          </w:rPr>
          <w:t>64</w:t>
        </w:r>
      </w:fldSimple>
      <w:r>
        <w:t xml:space="preserve">，同时自动计算请求金额并生成符合当地格式的证据清单和证据目录。</w:t>
      </w:r>
    </w:p>
    <w:p>
      <w:pPr>
        <w:pStyle w:val="BodyText"/>
      </w:pPr>
      <w:r>
        <w:rPr>
          <w:bCs/>
          <w:b/>
        </w:rPr>
        <w:t xml:space="preserve">模块六：地域规则匹配引擎</w:t>
      </w:r>
      <w:r>
        <w:t xml:space="preserve">。处理中国劳动法”地域性”的核心挑战。引擎底层构建全国通用规则库，上层覆盖31个省市的高院指导意见和裁判口径，在涉及地域差异的问题（经济补偿金基数、二倍工资时效、加班费计算基数、竞业限制标准等）上，根据用户选择的地区自动调取对应规则并标注差异</w:t>
      </w:r>
      <w:fldSimple w:instr="NOTEREF _Ref_Footnote_6 \h \f">
        <w:r>
          <w:rPr>
            <w:vertAlign w:val="superscript"/>
          </w:rPr>
          <w:t>6</w:t>
        </w:r>
      </w:fldSimple>
      <w:r>
        <w:t xml:space="preserve"> </w:t>
      </w:r>
      <w:r>
        <w:rPr>
          <w:vertAlign w:val="superscript"/>
        </w:rPr>
        <w:footnoteReference w:id="66"/>
      </w:r>
      <w:r>
        <w:t xml:space="preserve">。</w:t>
      </w:r>
    </w:p>
    <w:p>
      <w:pPr>
        <w:pStyle w:val="BodyText"/>
      </w:pPr>
      <w:r>
        <w:t xml:space="preserve">下表对六大核心模块的功能定位、技术实现和差异化价值进行系统比较：</w:t>
      </w:r>
    </w:p>
    <w:tbl>
      <w:tblPr>
        <w:tblStyle w:val="Table"/>
        <w:tblW w:type="pct" w:w="5000"/>
        <w:tblLook w:firstRow="1" w:lastRow="0" w:firstColumn="0" w:lastColumn="0" w:noHBand="0" w:noVBand="0" w:val="0020"/>
      </w:tblPr>
      <w:tblGrid>
        <w:gridCol w:w="1440"/>
        <w:gridCol w:w="1440"/>
        <w:gridCol w:w="1440"/>
        <w:gridCol w:w="1800"/>
        <w:gridCol w:w="1800"/>
      </w:tblGrid>
      <w:tr>
        <w:trPr>
          <w:tblHeader w:val="true"/>
        </w:trPr>
        <w:tc>
          <w:tcPr/>
          <w:p>
            <w:pPr>
              <w:pStyle w:val="Compact"/>
              <w:jc w:val="left"/>
            </w:pPr>
            <w:r>
              <w:t xml:space="preserve">功能模块</w:t>
            </w:r>
          </w:p>
        </w:tc>
        <w:tc>
          <w:tcPr/>
          <w:p>
            <w:pPr>
              <w:pStyle w:val="Compact"/>
              <w:jc w:val="left"/>
            </w:pPr>
            <w:r>
              <w:t xml:space="preserve">核心输出</w:t>
            </w:r>
          </w:p>
        </w:tc>
        <w:tc>
          <w:tcPr/>
          <w:p>
            <w:pPr>
              <w:pStyle w:val="Compact"/>
              <w:jc w:val="left"/>
            </w:pPr>
            <w:r>
              <w:t xml:space="preserve">技术实现</w:t>
            </w:r>
          </w:p>
        </w:tc>
        <w:tc>
          <w:tcPr/>
          <w:p>
            <w:pPr>
              <w:pStyle w:val="Compact"/>
              <w:jc w:val="center"/>
            </w:pPr>
            <w:r>
              <w:t xml:space="preserve">竞品覆盖情况</w:t>
            </w:r>
          </w:p>
        </w:tc>
        <w:tc>
          <w:tcPr/>
          <w:p>
            <w:pPr>
              <w:pStyle w:val="Compact"/>
              <w:jc w:val="center"/>
            </w:pPr>
            <w:r>
              <w:t xml:space="preserve">差异化评级</w:t>
            </w:r>
          </w:p>
        </w:tc>
      </w:tr>
      <w:tr>
        <w:tc>
          <w:tcPr/>
          <w:p>
            <w:pPr>
              <w:pStyle w:val="Compact"/>
              <w:jc w:val="left"/>
            </w:pPr>
            <w:r>
              <w:t xml:space="preserve">纠纷类型识别引擎</w:t>
            </w:r>
          </w:p>
        </w:tc>
        <w:tc>
          <w:tcPr/>
          <w:p>
            <w:pPr>
              <w:pStyle w:val="Compact"/>
              <w:jc w:val="left"/>
            </w:pPr>
            <w:r>
              <w:t xml:space="preserve">争议类型、适用法律、初步建议</w:t>
            </w:r>
          </w:p>
        </w:tc>
        <w:tc>
          <w:tcPr/>
          <w:p>
            <w:pPr>
              <w:pStyle w:val="Compact"/>
              <w:jc w:val="left"/>
            </w:pPr>
            <w:r>
              <w:t xml:space="preserve">决策树/规则引擎</w:t>
            </w:r>
          </w:p>
        </w:tc>
        <w:tc>
          <w:tcPr/>
          <w:p>
            <w:pPr>
              <w:pStyle w:val="Compact"/>
              <w:jc w:val="center"/>
            </w:pPr>
            <w:r>
              <w:t xml:space="preserve">部分覆盖（法行宝等）</w:t>
            </w:r>
          </w:p>
        </w:tc>
        <w:tc>
          <w:tcPr/>
          <w:p>
            <w:pPr>
              <w:pStyle w:val="Compact"/>
              <w:jc w:val="center"/>
            </w:pPr>
            <w:r>
              <w:t xml:space="preserve">★★★☆☆</w:t>
            </w:r>
          </w:p>
        </w:tc>
      </w:tr>
      <w:tr>
        <w:tc>
          <w:tcPr/>
          <w:p>
            <w:pPr>
              <w:pStyle w:val="Compact"/>
              <w:jc w:val="left"/>
            </w:pPr>
            <w:r>
              <w:t xml:space="preserve">赔偿金估算引擎</w:t>
            </w:r>
          </w:p>
        </w:tc>
        <w:tc>
          <w:tcPr/>
          <w:p>
            <w:pPr>
              <w:pStyle w:val="Compact"/>
              <w:jc w:val="left"/>
            </w:pPr>
            <w:r>
              <w:t xml:space="preserve">精确金额计算（含地域规则适配）</w:t>
            </w:r>
          </w:p>
        </w:tc>
        <w:tc>
          <w:tcPr/>
          <w:p>
            <w:pPr>
              <w:pStyle w:val="Compact"/>
              <w:jc w:val="left"/>
            </w:pPr>
            <w:r>
              <w:t xml:space="preserve">计算公式+地域规则库</w:t>
            </w:r>
          </w:p>
        </w:tc>
        <w:tc>
          <w:tcPr/>
          <w:p>
            <w:pPr>
              <w:pStyle w:val="Compact"/>
              <w:jc w:val="center"/>
            </w:pPr>
            <w:r>
              <w:t xml:space="preserve">无专项功能</w:t>
            </w:r>
            <w:fldSimple w:instr="NOTEREF _Ref_Footnote_3 \h \f">
              <w:r>
                <w:rPr>
                  <w:vertAlign w:val="superscript"/>
                </w:rPr>
                <w:t>3</w:t>
              </w:r>
            </w:fldSimple>
          </w:p>
        </w:tc>
        <w:tc>
          <w:tcPr/>
          <w:p>
            <w:pPr>
              <w:pStyle w:val="Compact"/>
              <w:jc w:val="center"/>
            </w:pPr>
            <w:r>
              <w:t xml:space="preserve">★★★★★</w:t>
            </w:r>
          </w:p>
        </w:tc>
      </w:tr>
      <w:tr>
        <w:tc>
          <w:tcPr/>
          <w:p>
            <w:pPr>
              <w:pStyle w:val="Compact"/>
              <w:jc w:val="left"/>
            </w:pPr>
            <w:r>
              <w:t xml:space="preserve">证据清单智能生成</w:t>
            </w:r>
          </w:p>
        </w:tc>
        <w:tc>
          <w:tcPr/>
          <w:p>
            <w:pPr>
              <w:pStyle w:val="Compact"/>
              <w:jc w:val="left"/>
            </w:pPr>
            <w:r>
              <w:t xml:space="preserve">个性化8类证据清单+获取指导</w:t>
            </w:r>
          </w:p>
        </w:tc>
        <w:tc>
          <w:tcPr/>
          <w:p>
            <w:pPr>
              <w:pStyle w:val="Compact"/>
              <w:jc w:val="left"/>
            </w:pPr>
            <w:r>
              <w:t xml:space="preserve">模板引擎+条件判断</w:t>
            </w:r>
          </w:p>
        </w:tc>
        <w:tc>
          <w:tcPr/>
          <w:p>
            <w:pPr>
              <w:pStyle w:val="Compact"/>
              <w:jc w:val="center"/>
            </w:pPr>
            <w:r>
              <w:t xml:space="preserve">完全空白</w:t>
            </w:r>
            <w:fldSimple w:instr="NOTEREF _Ref_Footnote_4 \h \f">
              <w:r>
                <w:rPr>
                  <w:vertAlign w:val="superscript"/>
                </w:rPr>
                <w:t>4</w:t>
              </w:r>
            </w:fldSimple>
          </w:p>
        </w:tc>
        <w:tc>
          <w:tcPr/>
          <w:p>
            <w:pPr>
              <w:pStyle w:val="Compact"/>
              <w:jc w:val="center"/>
            </w:pPr>
            <w:r>
              <w:t xml:space="preserve">★★★★★</w:t>
            </w:r>
          </w:p>
        </w:tc>
      </w:tr>
      <w:tr>
        <w:tc>
          <w:tcPr/>
          <w:p>
            <w:pPr>
              <w:pStyle w:val="Compact"/>
              <w:jc w:val="left"/>
            </w:pPr>
            <w:r>
              <w:t xml:space="preserve">流程指引与节点管理</w:t>
            </w:r>
          </w:p>
        </w:tc>
        <w:tc>
          <w:tcPr/>
          <w:p>
            <w:pPr>
              <w:pStyle w:val="Compact"/>
              <w:jc w:val="left"/>
            </w:pPr>
            <w:r>
              <w:t xml:space="preserve">全流程时限追踪+关键节点提醒</w:t>
            </w:r>
          </w:p>
        </w:tc>
        <w:tc>
          <w:tcPr/>
          <w:p>
            <w:pPr>
              <w:pStyle w:val="Compact"/>
              <w:jc w:val="left"/>
            </w:pPr>
            <w:r>
              <w:t xml:space="preserve">定时任务+消息推送</w:t>
            </w:r>
          </w:p>
        </w:tc>
        <w:tc>
          <w:tcPr/>
          <w:p>
            <w:pPr>
              <w:pStyle w:val="Compact"/>
              <w:jc w:val="center"/>
            </w:pPr>
            <w:r>
              <w:t xml:space="preserve">部分覆盖</w:t>
            </w:r>
          </w:p>
        </w:tc>
        <w:tc>
          <w:tcPr/>
          <w:p>
            <w:pPr>
              <w:pStyle w:val="Compact"/>
              <w:jc w:val="center"/>
            </w:pPr>
            <w:r>
              <w:t xml:space="preserve">★★★★☆</w:t>
            </w:r>
          </w:p>
        </w:tc>
      </w:tr>
      <w:tr>
        <w:tc>
          <w:tcPr/>
          <w:p>
            <w:pPr>
              <w:pStyle w:val="Compact"/>
              <w:jc w:val="left"/>
            </w:pPr>
            <w:r>
              <w:t xml:space="preserve">文书模板自动生成</w:t>
            </w:r>
          </w:p>
        </w:tc>
        <w:tc>
          <w:tcPr/>
          <w:p>
            <w:pPr>
              <w:pStyle w:val="Compact"/>
              <w:jc w:val="left"/>
            </w:pPr>
            <w:r>
              <w:t xml:space="preserve">符合当地格式的仲裁申请书+材料包</w:t>
            </w:r>
          </w:p>
        </w:tc>
        <w:tc>
          <w:tcPr/>
          <w:p>
            <w:pPr>
              <w:pStyle w:val="Compact"/>
              <w:jc w:val="left"/>
            </w:pPr>
            <w:r>
              <w:t xml:space="preserve">NLP+模板填充</w:t>
            </w:r>
          </w:p>
        </w:tc>
        <w:tc>
          <w:tcPr/>
          <w:p>
            <w:pPr>
              <w:pStyle w:val="Compact"/>
              <w:jc w:val="center"/>
            </w:pPr>
            <w:r>
              <w:t xml:space="preserve">部分覆盖</w:t>
            </w:r>
          </w:p>
        </w:tc>
        <w:tc>
          <w:tcPr/>
          <w:p>
            <w:pPr>
              <w:pStyle w:val="Compact"/>
              <w:jc w:val="center"/>
            </w:pPr>
            <w:r>
              <w:t xml:space="preserve">★★★☆☆</w:t>
            </w:r>
          </w:p>
        </w:tc>
      </w:tr>
      <w:tr>
        <w:tc>
          <w:tcPr/>
          <w:p>
            <w:pPr>
              <w:pStyle w:val="Compact"/>
              <w:jc w:val="left"/>
            </w:pPr>
            <w:r>
              <w:t xml:space="preserve">地域规则匹配引擎</w:t>
            </w:r>
          </w:p>
        </w:tc>
        <w:tc>
          <w:tcPr/>
          <w:p>
            <w:pPr>
              <w:pStyle w:val="Compact"/>
              <w:jc w:val="left"/>
            </w:pPr>
            <w:r>
              <w:t xml:space="preserve">通用规则+地区例外自动适配</w:t>
            </w:r>
          </w:p>
        </w:tc>
        <w:tc>
          <w:tcPr/>
          <w:p>
            <w:pPr>
              <w:pStyle w:val="Compact"/>
              <w:jc w:val="left"/>
            </w:pPr>
            <w:r>
              <w:t xml:space="preserve">规则库+用户地区标识</w:t>
            </w:r>
          </w:p>
        </w:tc>
        <w:tc>
          <w:tcPr/>
          <w:p>
            <w:pPr>
              <w:pStyle w:val="Compact"/>
              <w:jc w:val="center"/>
            </w:pPr>
            <w:r>
              <w:t xml:space="preserve">完全空白</w:t>
            </w:r>
          </w:p>
        </w:tc>
        <w:tc>
          <w:tcPr/>
          <w:p>
            <w:pPr>
              <w:pStyle w:val="Compact"/>
              <w:jc w:val="center"/>
            </w:pPr>
            <w:r>
              <w:t xml:space="preserve">★★★★☆</w:t>
            </w:r>
          </w:p>
        </w:tc>
      </w:tr>
    </w:tbl>
    <w:p>
      <w:pPr>
        <w:pStyle w:val="BodyText"/>
      </w:pPr>
      <w:r>
        <w:t xml:space="preserve">上表清晰呈现了功能设计的差异化梯度。赔偿金估算和证据清单生成是当前市场完全空白的”五星功能”——这两项功能分别对应劳动者搜索热度最高的需求（</w:t>
      </w:r>
      <w:r>
        <w:t xml:space="preserve">“</w:t>
      </w:r>
      <w:r>
        <w:t xml:space="preserve">N+1怎么算</w:t>
      </w:r>
      <w:r>
        <w:t xml:space="preserve">”</w:t>
      </w:r>
      <w:r>
        <w:t xml:space="preserve">“</w:t>
      </w:r>
      <w:r>
        <w:t xml:space="preserve">2N赔偿金</w:t>
      </w:r>
      <w:r>
        <w:t xml:space="preserve">”</w:t>
      </w:r>
      <w:r>
        <w:t xml:space="preserve">）和维权过程中最大的痛点（证据收集困难）。地域规则匹配引擎虽未获得五星评级，但其战略价值在于构建长期竞争壁垒——31省市规则库的建设需要持续的专家投入和合规经验积累，后进入者难以在短期内复制。</w:t>
      </w:r>
    </w:p>
    <w:bookmarkEnd w:id="49"/>
    <w:bookmarkStart w:id="50" w:name="交互设计原则超级计算器流程向导"/>
    <w:p>
      <w:pPr>
        <w:pStyle w:val="Heading3"/>
      </w:pPr>
      <w:r>
        <w:t xml:space="preserve">2.2.2 交互设计原则：</w:t>
      </w:r>
      <w:r>
        <w:t xml:space="preserve">“</w:t>
      </w:r>
      <w:r>
        <w:t xml:space="preserve">超级计算器+流程向导</w:t>
      </w:r>
      <w:r>
        <w:t xml:space="preserve">”</w:t>
      </w:r>
    </w:p>
    <w:p>
      <w:pPr>
        <w:pStyle w:val="FirstParagraph"/>
      </w:pPr>
      <w:r>
        <w:t xml:space="preserve">交互设计的核心原则是</w:t>
      </w:r>
      <w:r>
        <w:rPr>
          <w:bCs/>
          <w:b/>
        </w:rPr>
        <w:t xml:space="preserve">摒弃AI对话机器人的形态，采用”超级计算器+流程向导”（Super Calculator + Process Wizard）的混合形态</w:t>
      </w:r>
      <w:r>
        <w:t xml:space="preserve">。这一定位基于三项研究发现。</w:t>
      </w:r>
    </w:p>
    <w:p>
      <w:pPr>
        <w:pStyle w:val="BodyText"/>
      </w:pPr>
      <w:r>
        <w:t xml:space="preserve">第一，用户对AI法律咨询的接受度存在显著的年龄和场景分层。18-35岁群体相对开放，但涉及重大利益时信任度急剧下降；约40%的用户认为AI律师可能带来更高效率但也担心潜在风险</w:t>
      </w:r>
      <w:fldSimple w:instr="NOTEREF _Ref_Footnote_42 \h \f">
        <w:r>
          <w:rPr>
            <w:vertAlign w:val="superscript"/>
          </w:rPr>
          <w:t>42</w:t>
        </w:r>
      </w:fldSimple>
      <w:r>
        <w:t xml:space="preserve">。用户对AI持”谨慎但开放”的态度意味着，产品形态不应追求”类人”的对话体验，而应强调工具属性——用户需要感知到自己在使用一个”聪明的计算器”而非咨询一位”虚拟律师”。Nielsen Norman Group的研究进一步佐证了这一设计方向：用户更愿意接受被认为是”聪明”而非”有情感”的AI的建议，感知智能与采纳建议正相关（B = 0.31, p &lt; .001），而感知情感与采纳建议负相关（B = –1.04, p = .042）。法律AI产品应强调专业智能而非情感化设计。</w:t>
      </w:r>
    </w:p>
    <w:p>
      <w:pPr>
        <w:pStyle w:val="BodyText"/>
      </w:pPr>
      <w:r>
        <w:t xml:space="preserve">第二，劳动仲裁场景的交互需求具有高度的结构化特征。与开放式法律咨询不同，劳动仲裁的争议类型、证据类别、计算规则和流程节点均可以预先结构化。每个问题类型（欠薪/违法解除/加班费/未签合同）应有独立的着陆页，用户通过填空式交互而非自由文本对话输入信息。这种形态有三大优势：降低用户输入成本（选择题优于开放题）、提高系统准确性（结构化输入减少理解偏差）、优化搜索引擎可见性（独立页面有利于SEO获取自然流量）。</w:t>
      </w:r>
    </w:p>
    <w:p>
      <w:pPr>
        <w:pStyle w:val="BodyText"/>
      </w:pPr>
      <w:r>
        <w:t xml:space="preserve">第三，渐进式披露（Progressive Disclosure）是降低认知负荷的关键。产品不应在首页展示所有功能，而应遵循”评估→清单→采集→文书→立案”的线性流程，每一步只呈现当前步骤必要的信息和选项。研究显示，交互式流程引导的最佳实践包括：进度可视化（类似项目管理工具的任务节点追踪）、场景化引导（根据争议类型动态调整内容）、一键操作（证据上传后自动分类编号）和智能提醒（时效提醒、举证期限提醒）</w:t>
      </w:r>
      <w:r>
        <w:rPr>
          <w:vertAlign w:val="superscript"/>
        </w:rPr>
        <w:footnoteReference w:id="67"/>
      </w:r>
      <w:r>
        <w:t xml:space="preserve">。</w:t>
      </w:r>
    </w:p>
    <w:bookmarkEnd w:id="50"/>
    <w:bookmarkStart w:id="51" w:name="地域差异处理方案通用规则用户自助输入置信度提示"/>
    <w:p>
      <w:pPr>
        <w:pStyle w:val="Heading3"/>
      </w:pPr>
      <w:r>
        <w:t xml:space="preserve">2.2.3 地域差异处理方案：通用规则+用户自助输入+置信度提示</w:t>
      </w:r>
    </w:p>
    <w:p>
      <w:pPr>
        <w:pStyle w:val="FirstParagraph"/>
      </w:pPr>
      <w:r>
        <w:t xml:space="preserve">中国劳动法的”地域性”是产品设计的核心挑战。各地对经济补偿金基数是否包含加班费、未签劳动合同二倍工资时效计算方式、竞业限制最低补偿标准等核心问题的裁判口径存在根本性分歧</w:t>
      </w:r>
      <w:fldSimple w:instr="NOTEREF _Ref_Footnote_6 \h \f">
        <w:r>
          <w:rPr>
            <w:vertAlign w:val="superscript"/>
          </w:rPr>
          <w:t>6</w:t>
        </w:r>
      </w:fldSimple>
      <w:r>
        <w:t xml:space="preserve"> </w:t>
      </w:r>
      <w:fldSimple w:instr="NOTEREF _Ref_Footnote_66 \h \f">
        <w:r>
          <w:rPr>
            <w:vertAlign w:val="superscript"/>
          </w:rPr>
          <w:t>66</w:t>
        </w:r>
      </w:fldSimple>
      <w:r>
        <w:t xml:space="preserve">。大模型在法律领域的幻觉率更高达17%-33%，存在编造不存在的判例的风险。应对这一挑战，产品采用</w:t>
      </w:r>
      <w:r>
        <w:rPr>
          <w:bCs/>
          <w:b/>
        </w:rPr>
        <w:t xml:space="preserve">“</w:t>
      </w:r>
      <w:r>
        <w:rPr>
          <w:bCs/>
          <w:b/>
        </w:rPr>
        <w:t xml:space="preserve">通用规则+用户自助输入+4级置信度提示</w:t>
      </w:r>
      <w:r>
        <w:rPr>
          <w:bCs/>
          <w:b/>
        </w:rPr>
        <w:t xml:space="preserve">”</w:t>
      </w:r>
      <w:r>
        <w:t xml:space="preserve">的三层处理方案。</w:t>
      </w:r>
    </w:p>
    <w:p>
      <w:pPr>
        <w:pStyle w:val="BodyText"/>
      </w:pPr>
      <w:r>
        <w:rPr>
          <w:bCs/>
          <w:b/>
        </w:rPr>
        <w:t xml:space="preserve">第一层：通用规则底座</w:t>
      </w:r>
      <w:r>
        <w:t xml:space="preserve">。系统内置全国统一的劳动法核心规则（如《劳动合同法》第47条经济补偿金计算框架），适用于所有地区的共性场景。这确保了无论用户身处何地，都能获得基础层面的正确指导。</w:t>
      </w:r>
    </w:p>
    <w:p>
      <w:pPr>
        <w:pStyle w:val="BodyText"/>
      </w:pPr>
      <w:r>
        <w:rPr>
          <w:bCs/>
          <w:b/>
        </w:rPr>
        <w:t xml:space="preserve">第二层：用户自助输入+地域规则匹配</w:t>
      </w:r>
      <w:r>
        <w:t xml:space="preserve">。用户首次使用时选择所在省份，系统自动调取对应地区的特殊规则。例如，用户选择”北京”后，赔偿金计算自动采用”包含加班费”的基数规则</w:t>
      </w:r>
      <w:r>
        <w:rPr>
          <w:vertAlign w:val="superscript"/>
        </w:rPr>
        <w:footnoteReference w:id="68"/>
      </w:r>
      <w:r>
        <w:t xml:space="preserve">；选择”上海”则自动切换为”不包含加班费”</w:t>
      </w:r>
      <w:fldSimple w:instr="NOTEREF _Ref_Footnote_66 \h \f">
        <w:r>
          <w:rPr>
            <w:vertAlign w:val="superscript"/>
          </w:rPr>
          <w:t>66</w:t>
        </w:r>
      </w:fldSimple>
      <w:r>
        <w:t xml:space="preserve">。对于系统未覆盖的地区，产品提供全国通用计算框架，并引导用户输入当地关键参数（上年度社平工资、最低工资标准），由系统完成计算。这种方式将地域差异从”产品缺陷”转化为”用户参与点”——用户通过输入本地数据增强了结果的掌控感和准确性。</w:t>
      </w:r>
    </w:p>
    <w:p>
      <w:pPr>
        <w:pStyle w:val="BodyText"/>
      </w:pPr>
      <w:r>
        <w:rPr>
          <w:bCs/>
          <w:b/>
        </w:rPr>
        <w:t xml:space="preserve">第三层：4级置信度提示</w:t>
      </w:r>
      <w:r>
        <w:t xml:space="preserve">。所有计算结果和建议均标注置信度等级，让用户自行判断可靠性：</w:t>
      </w:r>
    </w:p>
    <w:p>
      <w:pPr>
        <w:numPr>
          <w:ilvl w:val="0"/>
          <w:numId w:val="1001"/>
        </w:numPr>
        <w:pStyle w:val="Compact"/>
      </w:pPr>
      <w:r>
        <w:rPr>
          <w:bCs/>
          <w:b/>
        </w:rPr>
        <w:t xml:space="preserve">Level 1（高置信度）</w:t>
      </w:r>
      <w:r>
        <w:t xml:space="preserve">：基于国家法律条文，全国通用（如经济补偿金=N×月工资的基本公式）</w:t>
      </w:r>
    </w:p>
    <w:p>
      <w:pPr>
        <w:numPr>
          <w:ilvl w:val="0"/>
          <w:numId w:val="1001"/>
        </w:numPr>
        <w:pStyle w:val="Compact"/>
      </w:pPr>
      <w:r>
        <w:rPr>
          <w:bCs/>
          <w:b/>
        </w:rPr>
        <w:t xml:space="preserve">Level 2（中高置信度）</w:t>
      </w:r>
      <w:r>
        <w:t xml:space="preserve">：基于公开的司法解释或高院指导意见，地区规则已验证</w:t>
      </w:r>
    </w:p>
    <w:p>
      <w:pPr>
        <w:numPr>
          <w:ilvl w:val="0"/>
          <w:numId w:val="1001"/>
        </w:numPr>
        <w:pStyle w:val="Compact"/>
      </w:pPr>
      <w:r>
        <w:rPr>
          <w:bCs/>
          <w:b/>
        </w:rPr>
        <w:t xml:space="preserve">Level 3（中置信度）</w:t>
      </w:r>
      <w:r>
        <w:t xml:space="preserve">：涉及正在变化中的规则或各地存在分歧的领域，系统标注不同立场</w:t>
      </w:r>
    </w:p>
    <w:p>
      <w:pPr>
        <w:numPr>
          <w:ilvl w:val="0"/>
          <w:numId w:val="1001"/>
        </w:numPr>
        <w:pStyle w:val="Compact"/>
      </w:pPr>
      <w:r>
        <w:rPr>
          <w:bCs/>
          <w:b/>
        </w:rPr>
        <w:t xml:space="preserve">Level 4（低置信度+人工复核建议）</w:t>
      </w:r>
      <w:r>
        <w:t xml:space="preserve">：案情复杂或规则不明确，建议咨询当地律师</w:t>
      </w:r>
    </w:p>
    <w:p>
      <w:pPr>
        <w:pStyle w:val="FirstParagraph"/>
      </w:pPr>
      <w:r>
        <w:t xml:space="preserve">这一设计的预期覆盖率为80%——即80%的常规场景可通过通用规则+重点地区规则库（北京、上海、广东、江苏、浙江、深圳）自动解决，剩余20%的复杂或边缘场景通过置信度提示引导用户寻求人工专业服务。研究建议的地域规则库建设优先级为：第一阶段构建全国通用劳动法知识库，第二阶段补充北京、上海、广东、江苏等重点地区规则，第三阶段建设31省市完整规则库</w:t>
      </w:r>
      <w:fldSimple w:instr="NOTEREF _Ref_Footnote_6 \h \f">
        <w:r>
          <w:rPr>
            <w:vertAlign w:val="superscript"/>
          </w:rPr>
          <w:t>6</w:t>
        </w:r>
      </w:fldSimple>
      <w:r>
        <w:t xml:space="preserve"> </w:t>
      </w:r>
      <w:fldSimple w:instr="NOTEREF _Ref_Footnote_15 \h \f">
        <w:r>
          <w:rPr>
            <w:vertAlign w:val="superscript"/>
          </w:rPr>
          <w:t>15</w:t>
        </w:r>
      </w:fldSimple>
      <w:r>
        <w:t xml:space="preserve">。</w:t>
      </w:r>
    </w:p>
    <w:bookmarkEnd w:id="51"/>
    <w:bookmarkEnd w:id="52"/>
    <w:bookmarkStart w:id="57" w:name="信任机制设计"/>
    <w:p>
      <w:pPr>
        <w:pStyle w:val="Heading2"/>
      </w:pPr>
      <w:r>
        <w:t xml:space="preserve">2.3 信任机制设计</w:t>
      </w:r>
    </w:p>
    <w:bookmarkStart w:id="53" w:name="律师背书模式内容供应链而非品牌代言"/>
    <w:p>
      <w:pPr>
        <w:pStyle w:val="Heading3"/>
      </w:pPr>
      <w:r>
        <w:t xml:space="preserve">2.3.1 律师背书模式：内容供应链而非品牌代言</w:t>
      </w:r>
    </w:p>
    <w:p>
      <w:pPr>
        <w:pStyle w:val="FirstParagraph"/>
      </w:pPr>
      <w:r>
        <w:t xml:space="preserve">劳动仲裁智能体面临的核心信任挑战是：超过60%的受访者对AI律师持谨慎态度</w:t>
      </w:r>
      <w:fldSimple w:instr="NOTEREF _Ref_Footnote_42 \h \f">
        <w:r>
          <w:rPr>
            <w:vertAlign w:val="superscript"/>
          </w:rPr>
          <w:t>42</w:t>
        </w:r>
      </w:fldSimple>
      <w:r>
        <w:t xml:space="preserve">，劳动者在面对切身利益时对AI生成内容的准确性存在天然疑虑。传统理解中，律师背书是请知名律师做品牌代言；但对于AI产品而言，更可持续的模式是构建</w:t>
      </w:r>
      <w:r>
        <w:rPr>
          <w:bCs/>
          <w:b/>
        </w:rPr>
        <w:t xml:space="preserve">律师参与的内容供应链（Content Supply Chain）</w:t>
      </w:r>
      <w:r>
        <w:t xml:space="preserve">——律师审核AI生成的内容库、在关键节点提供人工复核、从转介的案件中获得收入。</w:t>
      </w:r>
    </w:p>
    <w:p>
      <w:pPr>
        <w:pStyle w:val="BodyText"/>
      </w:pPr>
      <w:r>
        <w:t xml:space="preserve">这一定位转变的依据是律师群体的现实需求结构。调研显示，88%的律师已在工作中使用AI</w:t>
      </w:r>
      <w:fldSimple w:instr="NOTEREF _Ref_Footnote_3 \h \f">
        <w:r>
          <w:rPr>
            <w:vertAlign w:val="superscript"/>
          </w:rPr>
          <w:t>3</w:t>
        </w:r>
      </w:fldSimple>
      <w:r>
        <w:t xml:space="preserve">，55.87%的青年律师首要焦虑是案源不足。青年律师缺乏案源和时间来建立个人品牌，AI产品可以为其提供三重价值：内容曝光（审核内容的署名权）、精准案源（高意向用户的定向转介）和效率工具（减少重复性文书工作）。律师不是需要被说服的”合作方”，而是有强烈动力参与的”利益共同体”。</w:t>
      </w:r>
    </w:p>
    <w:p>
      <w:pPr>
        <w:pStyle w:val="BodyText"/>
      </w:pPr>
      <w:r>
        <w:t xml:space="preserve">内容供应链模式的具体运作包含三个环节。</w:t>
      </w:r>
      <w:r>
        <w:rPr>
          <w:bCs/>
          <w:b/>
        </w:rPr>
        <w:t xml:space="preserve">环节一：AI内容生成与律师审核</w:t>
      </w:r>
      <w:r>
        <w:t xml:space="preserve">。产品由AI引擎生成基础内容库（法律解释、计算规则、证据清单等），签约律师按领域分工进行审核，审核通过的内容标注律师姓名和执业证号。无讼平台的实践验证了该模式的可行性——其”AI生成+律师复核”机制的复核通过率达99.2%，2小时内完成[^无讼^]。</w:t>
      </w:r>
      <w:r>
        <w:rPr>
          <w:bCs/>
          <w:b/>
        </w:rPr>
        <w:t xml:space="preserve">环节二：关键节点人工复核</w:t>
      </w:r>
      <w:r>
        <w:t xml:space="preserve">。用户在生成仲裁申请书等关键文书后，可选择付费由平台认证律师进行人工复核——这是一种”人机协同”的质量保障机制。</w:t>
      </w:r>
      <w:r>
        <w:rPr>
          <w:bCs/>
          <w:b/>
        </w:rPr>
        <w:t xml:space="preserve">环节三：案源转介闭环</w:t>
      </w:r>
      <w:r>
        <w:t xml:space="preserve">。对于超出AI能力范围的复杂案件，或用户在完成基础评估后希望获得深度法律服务的场景，系统提供律师转介入口。案源转介可使青年律师收入增长约150%，平台从中获取约定比例的服务费。</w:t>
      </w:r>
    </w:p>
    <w:p>
      <w:pPr>
        <w:pStyle w:val="BodyText"/>
      </w:pPr>
      <w:r>
        <w:t xml:space="preserve">与品牌代言模式相比，内容供应链模式的优势在于三重可持续性。首先，成本可控——按审核量付费而非按代言费付费，更适合早期产品的现金流管理。其次，规模可扩展——签约律师数量可随业务增长逐步增加，不受限于少数知名律师的时间。第三，质量可验证——每位律师的审核记录和用户评价形成可追溯的质量档案。</w:t>
      </w:r>
    </w:p>
    <w:bookmarkEnd w:id="53"/>
    <w:bookmarkStart w:id="54" w:name="透明度设计引用法律条文展示推理过程标注不确定性"/>
    <w:p>
      <w:pPr>
        <w:pStyle w:val="Heading3"/>
      </w:pPr>
      <w:r>
        <w:t xml:space="preserve">2.3.2 透明度设计：引用法律条文、展示推理过程、标注不确定性</w:t>
      </w:r>
    </w:p>
    <w:p>
      <w:pPr>
        <w:pStyle w:val="FirstParagraph"/>
      </w:pPr>
      <w:r>
        <w:t xml:space="preserve">透明度是AI法律产品信任建立的基石。Nielsen Norman Group的研究表明，63%的用户更依赖显示置信水平或解释推理过程的AI系统，而非提供”黑盒”答案的系统。DeepSeek的成功亦验证了这一洞察——其在用户界面率先展示思考过程，让用户知道AI如何思考和构建答案</w:t>
      </w:r>
      <w:fldSimple w:instr="NOTEREF _Ref_Footnote_55 \h \f">
        <w:r>
          <w:rPr>
            <w:vertAlign w:val="superscript"/>
          </w:rPr>
          <w:t>55</w:t>
        </w:r>
      </w:fldSimple>
      <w:r>
        <w:t xml:space="preserve">。</w:t>
      </w:r>
    </w:p>
    <w:p>
      <w:pPr>
        <w:pStyle w:val="BodyText"/>
      </w:pPr>
      <w:r>
        <w:t xml:space="preserve">透明度设计在产品层面落地为三个机制。</w:t>
      </w:r>
      <w:r>
        <w:rPr>
          <w:bCs/>
          <w:b/>
        </w:rPr>
        <w:t xml:space="preserve">机制一：法条溯源</w:t>
      </w:r>
      <w:r>
        <w:t xml:space="preserve">。每条法律建议均附带可点击的法条链接，直接跳转至官方法律法规数据库的对应条文。这不仅方便用户验证，也是产品专业性的可视化信号。</w:t>
      </w:r>
      <w:r>
        <w:rPr>
          <w:bCs/>
          <w:b/>
        </w:rPr>
        <w:t xml:space="preserve">机制二：推理过程展示</w:t>
      </w:r>
      <w:r>
        <w:t xml:space="preserve">。系统展示分析步骤——如赔偿金计算时，依次呈现”确定争议类型→识别适用法律→计算工作年限→确定月平均工资基数→适用地域规则→得出最终结果”的完整推理链。Claude的设计实践表明，这种”极其坦诚地把推理过程扒开给你看”的策略比花哨的UI更能建立信任。</w:t>
      </w:r>
      <w:r>
        <w:rPr>
          <w:bCs/>
          <w:b/>
        </w:rPr>
        <w:t xml:space="preserve">机制三：不确定性主动标注</w:t>
      </w:r>
      <w:r>
        <w:t xml:space="preserve">。一个反直觉的洞察是：Agent承认不确定性反而让用户更信任它[^36氪^]。当系统遇到地域规则不明确或案情超出AI能力边界时，主动标注”该问题涉及正在变化中的司法解释，建议咨询当地律师”，比强行给出不确定的答案更能维护长期信任。</w:t>
      </w:r>
    </w:p>
    <w:p>
      <w:pPr>
        <w:pStyle w:val="BodyText"/>
      </w:pPr>
      <w:r>
        <w:t xml:space="preserve">下表系统呈现了劳动仲裁智能体的四层信任递进设计：</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信任层级</w:t>
            </w:r>
          </w:p>
        </w:tc>
        <w:tc>
          <w:tcPr/>
          <w:p>
            <w:pPr>
              <w:pStyle w:val="Compact"/>
              <w:jc w:val="left"/>
            </w:pPr>
            <w:r>
              <w:t xml:space="preserve">目标状态</w:t>
            </w:r>
          </w:p>
        </w:tc>
        <w:tc>
          <w:tcPr/>
          <w:p>
            <w:pPr>
              <w:pStyle w:val="Compact"/>
              <w:jc w:val="left"/>
            </w:pPr>
            <w:r>
              <w:t xml:space="preserve">核心机制</w:t>
            </w:r>
          </w:p>
        </w:tc>
        <w:tc>
          <w:tcPr/>
          <w:p>
            <w:pPr>
              <w:pStyle w:val="Compact"/>
              <w:jc w:val="left"/>
            </w:pPr>
            <w:r>
              <w:t xml:space="preserve">具体实现</w:t>
            </w:r>
          </w:p>
        </w:tc>
        <w:tc>
          <w:tcPr/>
          <w:p>
            <w:pPr>
              <w:pStyle w:val="Compact"/>
              <w:jc w:val="left"/>
            </w:pPr>
            <w:r>
              <w:t xml:space="preserve">关键数据/指标</w:t>
            </w:r>
          </w:p>
        </w:tc>
      </w:tr>
      <w:tr>
        <w:tc>
          <w:tcPr/>
          <w:p>
            <w:pPr>
              <w:pStyle w:val="Compact"/>
              <w:jc w:val="left"/>
            </w:pPr>
            <w:r>
              <w:t xml:space="preserve">第一层：基础信任</w:t>
            </w:r>
          </w:p>
        </w:tc>
        <w:tc>
          <w:tcPr/>
          <w:p>
            <w:pPr>
              <w:pStyle w:val="Compact"/>
              <w:jc w:val="left"/>
            </w:pPr>
            <w:r>
              <w:t xml:space="preserve">用户愿意尝试使用</w:t>
            </w:r>
          </w:p>
        </w:tc>
        <w:tc>
          <w:tcPr/>
          <w:p>
            <w:pPr>
              <w:pStyle w:val="Compact"/>
              <w:jc w:val="left"/>
            </w:pPr>
            <w:r>
              <w:t xml:space="preserve">律师背书+安全认证+免责声明</w:t>
            </w:r>
          </w:p>
        </w:tc>
        <w:tc>
          <w:tcPr/>
          <w:p>
            <w:pPr>
              <w:pStyle w:val="Compact"/>
              <w:jc w:val="left"/>
            </w:pPr>
            <w:r>
              <w:t xml:space="preserve">展示签约律师资质头像、SSL加密标识、隐私政策、清晰免责声明</w:t>
            </w:r>
          </w:p>
        </w:tc>
        <w:tc>
          <w:tcPr/>
          <w:p>
            <w:pPr>
              <w:pStyle w:val="Compact"/>
              <w:jc w:val="left"/>
            </w:pPr>
            <w:r>
              <w:t xml:space="preserve">超过60%用户对AI律师持谨慎态度</w:t>
            </w:r>
            <w:fldSimple w:instr="NOTEREF _Ref_Footnote_42 \h \f">
              <w:r>
                <w:rPr>
                  <w:vertAlign w:val="superscript"/>
                </w:rPr>
                <w:t>42</w:t>
              </w:r>
            </w:fldSimple>
          </w:p>
        </w:tc>
      </w:tr>
      <w:tr>
        <w:tc>
          <w:tcPr/>
          <w:p>
            <w:pPr>
              <w:pStyle w:val="Compact"/>
              <w:jc w:val="left"/>
            </w:pPr>
            <w:r>
              <w:t xml:space="preserve">第二层：过程信任</w:t>
            </w:r>
          </w:p>
        </w:tc>
        <w:tc>
          <w:tcPr/>
          <w:p>
            <w:pPr>
              <w:pStyle w:val="Compact"/>
              <w:jc w:val="left"/>
            </w:pPr>
            <w:r>
              <w:t xml:space="preserve">用户相信单次输出</w:t>
            </w:r>
          </w:p>
        </w:tc>
        <w:tc>
          <w:tcPr/>
          <w:p>
            <w:pPr>
              <w:pStyle w:val="Compact"/>
              <w:jc w:val="left"/>
            </w:pPr>
            <w:r>
              <w:t xml:space="preserve">推理透明+法条溯源+置信度标注</w:t>
            </w:r>
          </w:p>
        </w:tc>
        <w:tc>
          <w:tcPr/>
          <w:p>
            <w:pPr>
              <w:pStyle w:val="Compact"/>
              <w:jc w:val="left"/>
            </w:pPr>
            <w:r>
              <w:t xml:space="preserve">显示分析步骤和引用法条、每条建议附可点击法条链接、4级置信度提示</w:t>
            </w:r>
          </w:p>
        </w:tc>
        <w:tc>
          <w:tcPr/>
          <w:p>
            <w:pPr>
              <w:pStyle w:val="Compact"/>
              <w:jc w:val="left"/>
            </w:pPr>
            <w:r>
              <w:t xml:space="preserve">63%用户更依赖显示置信度/推理的AI[^NNG^]</w:t>
            </w:r>
          </w:p>
        </w:tc>
      </w:tr>
      <w:tr>
        <w:tc>
          <w:tcPr/>
          <w:p>
            <w:pPr>
              <w:pStyle w:val="Compact"/>
              <w:jc w:val="left"/>
            </w:pPr>
            <w:r>
              <w:t xml:space="preserve">第三层：验证信任</w:t>
            </w:r>
          </w:p>
        </w:tc>
        <w:tc>
          <w:tcPr/>
          <w:p>
            <w:pPr>
              <w:pStyle w:val="Compact"/>
              <w:jc w:val="left"/>
            </w:pPr>
            <w:r>
              <w:t xml:space="preserve">用户确认产品质量</w:t>
            </w:r>
          </w:p>
        </w:tc>
        <w:tc>
          <w:tcPr/>
          <w:p>
            <w:pPr>
              <w:pStyle w:val="Compact"/>
              <w:jc w:val="left"/>
            </w:pPr>
            <w:r>
              <w:t xml:space="preserve">社交证明+退款保障+错误报告</w:t>
            </w:r>
          </w:p>
        </w:tc>
        <w:tc>
          <w:tcPr/>
          <w:p>
            <w:pPr>
              <w:pStyle w:val="Compact"/>
              <w:jc w:val="left"/>
            </w:pPr>
            <w:r>
              <w:t xml:space="preserve">真实用户评价、匿名化成功案例、14天无理由退款、快速错误响应</w:t>
            </w:r>
          </w:p>
        </w:tc>
        <w:tc>
          <w:tcPr/>
          <w:p>
            <w:pPr>
              <w:pStyle w:val="Compact"/>
              <w:jc w:val="left"/>
            </w:pPr>
            <w:r>
              <w:t xml:space="preserve">退款保障可使转化意愿提升40%[^geek^]</w:t>
            </w:r>
          </w:p>
        </w:tc>
      </w:tr>
      <w:tr>
        <w:tc>
          <w:tcPr/>
          <w:p>
            <w:pPr>
              <w:pStyle w:val="Compact"/>
              <w:jc w:val="left"/>
            </w:pPr>
            <w:r>
              <w:t xml:space="preserve">第四层：深度信任</w:t>
            </w:r>
          </w:p>
        </w:tc>
        <w:tc>
          <w:tcPr/>
          <w:p>
            <w:pPr>
              <w:pStyle w:val="Compact"/>
              <w:jc w:val="left"/>
            </w:pPr>
            <w:r>
              <w:t xml:space="preserve">用户建立长期依赖</w:t>
            </w:r>
          </w:p>
        </w:tc>
        <w:tc>
          <w:tcPr/>
          <w:p>
            <w:pPr>
              <w:pStyle w:val="Compact"/>
              <w:jc w:val="left"/>
            </w:pPr>
            <w:r>
              <w:t xml:space="preserve">渐进付费+用户教育+社区建设</w:t>
            </w:r>
          </w:p>
        </w:tc>
        <w:tc>
          <w:tcPr/>
          <w:p>
            <w:pPr>
              <w:pStyle w:val="Compact"/>
              <w:jc w:val="left"/>
            </w:pPr>
            <w:r>
              <w:t xml:space="preserve">免费基础→低价高级→人工服务的阶梯定价、AI素养教育内容、用户经验分享社区</w:t>
            </w:r>
          </w:p>
        </w:tc>
        <w:tc>
          <w:tcPr/>
          <w:p>
            <w:pPr>
              <w:pStyle w:val="Compact"/>
              <w:jc w:val="left"/>
            </w:pPr>
            <w:r>
              <w:t xml:space="preserve">渐进解锁策略90天留存率高40%</w:t>
            </w:r>
            <w:fldSimple w:instr="NOTEREF _Ref_Footnote_51 \h \f">
              <w:r>
                <w:rPr>
                  <w:vertAlign w:val="superscript"/>
                </w:rPr>
                <w:t>51</w:t>
              </w:r>
            </w:fldSimple>
          </w:p>
        </w:tc>
      </w:tr>
    </w:tbl>
    <w:p>
      <w:pPr>
        <w:pStyle w:val="BodyText"/>
      </w:pPr>
      <w:r>
        <w:t xml:space="preserve">上表呈现了从”首次接触”到”长期依赖”的完整信任建设路径。每一层信任的建立都依赖具体的可量化机制，而非抽象的品牌承诺。值得注意的是，第四层中的”渐进付费”设计不仅是商业策略，更是信任策略——用户通过免费基础功能验证产品价值后，才愿意进行小额付费，进而建立更深层次的信任关系。</w:t>
      </w:r>
    </w:p>
    <w:bookmarkEnd w:id="54"/>
    <w:bookmarkStart w:id="55" w:name="渐进式信任建立四层递进模型"/>
    <w:p>
      <w:pPr>
        <w:pStyle w:val="Heading3"/>
      </w:pPr>
      <w:r>
        <w:t xml:space="preserve">2.3.3 渐进式信任建立：四层递进模型</w:t>
      </w:r>
    </w:p>
    <w:p>
      <w:pPr>
        <w:pStyle w:val="FirstParagraph"/>
      </w:pPr>
      <w:r>
        <w:t xml:space="preserve">信任建立不是一蹴而就的品牌传播，而是一个与用户交互深度同步递进的过程。基于研究发现，产品采用</w:t>
      </w:r>
      <w:r>
        <w:rPr>
          <w:bCs/>
          <w:b/>
        </w:rPr>
        <w:t xml:space="preserve">“</w:t>
      </w:r>
      <w:r>
        <w:rPr>
          <w:bCs/>
          <w:b/>
        </w:rPr>
        <w:t xml:space="preserve">免费试用→小额付费→退款保障→成功案例社交证明</w:t>
      </w:r>
      <w:r>
        <w:rPr>
          <w:bCs/>
          <w:b/>
        </w:rPr>
        <w:t xml:space="preserve">”</w:t>
      </w:r>
      <w:r>
        <w:rPr>
          <w:bCs/>
          <w:b/>
        </w:rPr>
        <w:t xml:space="preserve">的四层递进模型</w:t>
      </w:r>
      <w:r>
        <w:t xml:space="preserve">。</w:t>
      </w:r>
    </w:p>
    <w:p>
      <w:pPr>
        <w:pStyle w:val="BodyText"/>
      </w:pPr>
      <w:r>
        <w:rPr>
          <w:bCs/>
          <w:b/>
        </w:rPr>
        <w:t xml:space="preserve">第一层：免费试用降低准入门槛</w:t>
      </w:r>
      <w:r>
        <w:t xml:space="preserve">。产品的核心评估功能（纠纷类型识别、赔偿金初步估算、基础证据清单）永久免费。百度法行宝通过免费服务积累940万用户的案例表明，劳动者对免费法律信息服务存在庞大需求</w:t>
      </w:r>
      <w:fldSimple w:instr="NOTEREF _Ref_Footnote_41 \h \f">
        <w:r>
          <w:rPr>
            <w:vertAlign w:val="superscript"/>
          </w:rPr>
          <w:t>41</w:t>
        </w:r>
      </w:fldSimple>
      <w:r>
        <w:t xml:space="preserve">。免费层的战略价值在于”市场教育”——让劳动者了解什么是合法权益、什么情况下可以维权，同时也为用户提供了零成本验证产品准确性的机会。</w:t>
      </w:r>
    </w:p>
    <w:p>
      <w:pPr>
        <w:pStyle w:val="BodyText"/>
      </w:pPr>
      <w:r>
        <w:rPr>
          <w:bCs/>
          <w:b/>
        </w:rPr>
        <w:t xml:space="preserve">第二层：小额付费验证付费意愿</w:t>
      </w:r>
      <w:r>
        <w:t xml:space="preserve">。当用户对免费功能的准确性产生基本信任后，高级功能（完整证据采集指导、仲裁申请书生成、可信时间戳存证服务）以9.9-49元的单次价格提供。这一价格区间远低于商业律师3{,}000-8{,}000元的代理费</w:t>
      </w:r>
      <w:fldSimple w:instr="NOTEREF _Ref_Footnote_38 \h \f">
        <w:r>
          <w:rPr>
            <w:vertAlign w:val="superscript"/>
          </w:rPr>
          <w:t>38</w:t>
        </w:r>
      </w:fldSimple>
      <w:r>
        <w:t xml:space="preserve">，处于劳动者的可承受范围内（用户调研显示可接受价格集中在50-500元区间</w:t>
      </w:r>
      <w:fldSimple w:instr="NOTEREF _Ref_Footnote_15 \h \f">
        <w:r>
          <w:rPr>
            <w:vertAlign w:val="superscript"/>
          </w:rPr>
          <w:t>15</w:t>
        </w:r>
      </w:fldSimple>
      <w:r>
        <w:t xml:space="preserve">）。小额付费是信任验证的关键节点——用户愿意为产品付费，本身就是对产品质量的最强信任信号。</w:t>
      </w:r>
    </w:p>
    <w:p>
      <w:pPr>
        <w:pStyle w:val="BodyText"/>
      </w:pPr>
      <w:r>
        <w:rPr>
          <w:bCs/>
          <w:b/>
        </w:rPr>
        <w:t xml:space="preserve">第三层：退款保障消除决策风险</w:t>
      </w:r>
      <w:r>
        <w:t xml:space="preserve">。产品提供14天无理由退款承诺。研究显示，这一承诺可使转化意愿提升40%[^geek^]。对于法律服务这种高决策成本场景，退款保障是降低用户感知风险的有效手段。需要注意的是，杭州互联网法院2026年1月审理的全国首例”AI幻觉”侵权案判决指出，AI赔偿承诺不构成平台意思表示，AI不具有民事主体资格。因此，退款承诺需通过明确的合同条款约定，而非单纯的产品宣传。</w:t>
      </w:r>
    </w:p>
    <w:p>
      <w:pPr>
        <w:pStyle w:val="BodyText"/>
      </w:pPr>
      <w:r>
        <w:rPr>
          <w:bCs/>
          <w:b/>
        </w:rPr>
        <w:t xml:space="preserve">第四层：成功案例社交证明建立群体信任</w:t>
      </w:r>
      <w:r>
        <w:t xml:space="preserve">。当积累足够数量的成功案例后，匿名化处理（经用户同意）后在产品内展示。法律咨询平台的研究表明，当潜在客户看到律师在类似案件中取得的成功经验时，同等条件下会更倾向于选择该产品[^deheheng^]。社交证明的展示维度应聚焦于”回答是否解决了问题”</w:t>
      </w:r>
      <w:r>
        <w:t xml:space="preserve">“</w:t>
      </w:r>
      <w:r>
        <w:t xml:space="preserve">引用的法条是否准确</w:t>
      </w:r>
      <w:r>
        <w:t xml:space="preserve">”</w:t>
      </w:r>
      <w:r>
        <w:t xml:space="preserve">“</w:t>
      </w:r>
      <w:r>
        <w:t xml:space="preserve">建议是否可操作</w:t>
      </w:r>
      <w:r>
        <w:t xml:space="preserve">”</w:t>
      </w:r>
      <w:r>
        <w:t xml:space="preserve">等实用性指标，而非简单的五星好评。</w:t>
      </w:r>
    </w:p>
    <w:bookmarkEnd w:id="55"/>
    <w:bookmarkStart w:id="56" w:name="免责声明与责任边界"/>
    <w:p>
      <w:pPr>
        <w:pStyle w:val="Heading3"/>
      </w:pPr>
      <w:r>
        <w:t xml:space="preserve">2.3.4 免责声明与责任边界</w:t>
      </w:r>
    </w:p>
    <w:p>
      <w:pPr>
        <w:pStyle w:val="FirstParagraph"/>
      </w:pPr>
      <w:r>
        <w:t xml:space="preserve">法律AI产品必须在用户界面和服务协议中设置极其清晰、醒目的免责声明。天元律师事务所的专业意见指出，任何向公众提供涉及专业知识判断的AI Agent服务，都必须明确告知”AI生成的内容不构成任何形式的专业意见，仅供参考”，并避免使用”顾问”</w:t>
      </w:r>
      <w:r>
        <w:t xml:space="preserve">“</w:t>
      </w:r>
      <w:r>
        <w:t xml:space="preserve">专家</w:t>
      </w:r>
      <w:r>
        <w:t xml:space="preserve">”</w:t>
      </w:r>
      <w:r>
        <w:t xml:space="preserve">等可能产生误导的营销词汇[^tylaw^]。</w:t>
      </w:r>
    </w:p>
    <w:p>
      <w:pPr>
        <w:pStyle w:val="BodyText"/>
      </w:pPr>
      <w:r>
        <w:t xml:space="preserve">免责声明的设计需满足《中华人民共和国民法典》第506条关于格式条款效力的规定——提供格式条款的一方不合理地免除或减轻其责任、加重对方责任、限制对方主要权利的条款无效。为确保免责声明的有效性，产品设计遵循四项条件：</w:t>
      </w:r>
      <w:r>
        <w:rPr>
          <w:bCs/>
          <w:b/>
        </w:rPr>
        <w:t xml:space="preserve">条件一：显著提示</w:t>
      </w:r>
      <w:r>
        <w:t xml:space="preserve">。免责声明在用户首次使用、每次生成关键文书和付费前均以显著方式呈现，不得隐藏在冗长的用户协议中。</w:t>
      </w:r>
      <w:r>
        <w:rPr>
          <w:bCs/>
          <w:b/>
        </w:rPr>
        <w:t xml:space="preserve">条件二：能力边界清晰</w:t>
      </w:r>
      <w:r>
        <w:t xml:space="preserve">。明确列出产品不能提供的服务——不能替代律师出具正式法律意见、不能代理出庭、不能保证计算结果在任何地区均被采纳。</w:t>
      </w:r>
      <w:r>
        <w:rPr>
          <w:bCs/>
          <w:b/>
        </w:rPr>
        <w:t xml:space="preserve">条件三：人工复核选项</w:t>
      </w:r>
      <w:r>
        <w:t xml:space="preserve">。对于可能产生重大影响的输出（如仲裁申请书），系统主动提示”建议由执业律师复核后再提交”。</w:t>
      </w:r>
      <w:r>
        <w:rPr>
          <w:bCs/>
          <w:b/>
        </w:rPr>
        <w:t xml:space="preserve">条件四：错误报告与补救机制</w:t>
      </w:r>
      <w:r>
        <w:t xml:space="preserve">。建立用户反馈通道，对发现的错误及时修正并通知受影响用户。</w:t>
      </w:r>
    </w:p>
    <w:p>
      <w:pPr>
        <w:pStyle w:val="BodyText"/>
      </w:pPr>
      <w:r>
        <w:t xml:space="preserve">主流AIGC产品采用的三层风险防护架构为本产品提供了参考框架：第一层为免责声明条款——拒绝对服务质量、适用性作出保证；第二层为责任限制条款——免除对间接性、偶然性损害的责任，并设定赔偿数额上限；第三层为用户责任承担约定——明确用户承担基于AI输出做出决策的最终责任[^中伦^]。杭州互联网法院在首例AI幻觉案中确立的裁判规则——服务提供者已尽到合理注意义务（显著位置呈现功能局限提醒、采用检索增强生成等技术提升可靠性）即可免责——为产品的合规设计提供了司法实践指引。</w:t>
      </w:r>
    </w:p>
    <w:p>
      <w:pPr>
        <w:pStyle w:val="BodyText"/>
      </w:pPr>
      <w:r>
        <w:t xml:space="preserve">从战略视角审视，合规运营本身构成了竞争壁垒。《律师法》对AI提供法律服务的限制看似障碍，但实际上先行者在合规路径上的探索和经验积累，将成为难以复制的竞争优势。后进入者难以快速复制免责声明设计、风险分级体系、人工复核机制等一整套合规基础设施。MVP阶段即引入律师参与合规设计，而非后期补做，是降低长期合规风险的关键决策。</w:t>
      </w:r>
    </w:p>
    <w:p>
      <w:r>
        <w:pict>
          <v:rect style="width:0;height:1.5pt" o:hralign="center" o:hrstd="t" o:hr="t"/>
        </w:pict>
      </w:r>
    </w:p>
    <w:bookmarkEnd w:id="56"/>
    <w:bookmarkEnd w:id="57"/>
    <w:bookmarkStart w:id="74" w:name="技术可行性分析"/>
    <w:p>
      <w:pPr>
        <w:pStyle w:val="Heading2"/>
      </w:pPr>
      <w:r>
        <w:t xml:space="preserve">3. 技术可行性分析</w:t>
      </w:r>
    </w:p>
    <w:bookmarkStart w:id="65" w:name="大模型劳动法原生能力评估"/>
    <w:p>
      <w:pPr>
        <w:pStyle w:val="Heading3"/>
      </w:pPr>
      <w:r>
        <w:t xml:space="preserve">3.1 大模型劳动法原生能力评估</w:t>
      </w:r>
    </w:p>
    <w:bookmarkStart w:id="61" w:name="主流模型对比国产模型在中国法律事务上优于国际模型"/>
    <w:p>
      <w:pPr>
        <w:pStyle w:val="Heading4"/>
      </w:pPr>
      <w:r>
        <w:t xml:space="preserve">3.1.1 主流模型对比：国产模型在中国法律事务上优于国际模型</w:t>
      </w:r>
    </w:p>
    <w:p>
      <w:pPr>
        <w:pStyle w:val="FirstParagraph"/>
      </w:pPr>
      <w:r>
        <w:t xml:space="preserve">评估大模型在劳动法领域的可用性，需要以权威基准测试（Benchmark）的量化数据为起点。LawBench评测包含20个任务，从记忆、理解、应用三个认知层面分析大语言模型的法律能力</w:t>
      </w:r>
      <w:r>
        <w:rPr>
          <w:vertAlign w:val="superscript"/>
        </w:rPr>
        <w:footnoteReference w:id="69"/>
      </w:r>
      <w:r>
        <w:t xml:space="preserve">。在该评测中，InternLM-Law（7B参数）以平均67.71分位列第一，超越GPT-4（52.35分）和Qwen-1.5-72B（55.85分）</w:t>
      </w:r>
      <w:r>
        <w:rPr>
          <w:vertAlign w:val="superscript"/>
        </w:rPr>
        <w:footnoteReference w:id="70"/>
      </w:r>
      <w:r>
        <w:t xml:space="preserve">。</w:t>
      </w:r>
    </w:p>
    <w:p>
      <w:pPr>
        <w:pStyle w:val="BodyText"/>
      </w:pPr>
      <w:r>
        <w:t xml:space="preserve">然而，InternLM-Law的优势主要体现在选择题式法律任务中。在面向真实法律咨询的PLaw Bench评测中，所有模型的得分趋于接近，最高分未突破70%</w:t>
      </w:r>
      <w:fldSimple w:instr="NOTEREF _Ref_Footnote_24 \h \f">
        <w:r>
          <w:rPr>
            <w:vertAlign w:val="superscript"/>
          </w:rPr>
          <w:t>24</w:t>
        </w:r>
      </w:fldSimple>
      <w:r>
        <w:t xml:space="preserve">。PLaw Bench由阿里巴巴千问团队于2026年2月发布，测试模块涵盖用户理解、案例分析和文书生成。结果显示，Qwen3-Max和DeepSeek-V3.2对本土法律术语和咨询场景的语境感知能力显著优于国际模型；GPT-4得分约60%，擅长总结归纳但查找具体法条存在短板</w:t>
      </w:r>
      <w:fldSimple w:instr="NOTEREF _Ref_Footnote_24 \h \f">
        <w:r>
          <w:rPr>
            <w:vertAlign w:val="superscript"/>
          </w:rPr>
          <w:t>24</w:t>
        </w:r>
      </w:fldSimple>
      <w:r>
        <w:t xml:space="preserve">。</w:t>
      </w:r>
    </w:p>
    <w:p>
      <w:pPr>
        <w:pStyle w:val="BodyText"/>
      </w:pPr>
      <w:r>
        <w:rPr>
          <w:bCs/>
          <w:b/>
        </w:rPr>
        <w:t xml:space="preserve">表3-1 主流大模型法律领域能力对比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模型</w:t>
            </w:r>
          </w:p>
        </w:tc>
        <w:tc>
          <w:tcPr/>
          <w:p>
            <w:pPr>
              <w:pStyle w:val="Compact"/>
              <w:jc w:val="left"/>
            </w:pPr>
            <w:r>
              <w:t xml:space="preserve">LawBench得分</w:t>
            </w:r>
          </w:p>
        </w:tc>
        <w:tc>
          <w:tcPr/>
          <w:p>
            <w:pPr>
              <w:pStyle w:val="Compact"/>
              <w:jc w:val="left"/>
            </w:pPr>
            <w:r>
              <w:t xml:space="preserve">PLaw Bench表现</w:t>
            </w:r>
          </w:p>
        </w:tc>
        <w:tc>
          <w:tcPr/>
          <w:p>
            <w:pPr>
              <w:pStyle w:val="Compact"/>
              <w:jc w:val="left"/>
            </w:pPr>
            <w:r>
              <w:t xml:space="preserve">劳动法实务</w:t>
            </w:r>
          </w:p>
        </w:tc>
        <w:tc>
          <w:tcPr/>
          <w:p>
            <w:pPr>
              <w:pStyle w:val="Compact"/>
              <w:jc w:val="left"/>
            </w:pPr>
            <w:r>
              <w:t xml:space="preserve">中文法律适配</w:t>
            </w:r>
          </w:p>
        </w:tc>
        <w:tc>
          <w:tcPr/>
          <w:p>
            <w:pPr>
              <w:pStyle w:val="Compact"/>
              <w:jc w:val="left"/>
            </w:pPr>
            <w:r>
              <w:t xml:space="preserve">综合推荐等级</w:t>
            </w:r>
          </w:p>
        </w:tc>
      </w:tr>
      <w:tr>
        <w:tc>
          <w:tcPr/>
          <w:p>
            <w:pPr>
              <w:pStyle w:val="Compact"/>
              <w:jc w:val="left"/>
            </w:pPr>
            <w:r>
              <w:t xml:space="preserve">InternLM-Law (7B)</w:t>
            </w:r>
          </w:p>
        </w:tc>
        <w:tc>
          <w:tcPr/>
          <w:p>
            <w:pPr>
              <w:pStyle w:val="Compact"/>
              <w:jc w:val="left"/>
            </w:pPr>
            <w:r>
              <w:t xml:space="preserve">67.71</w:t>
            </w:r>
            <w:fldSimple w:instr="NOTEREF _Ref_Footnote_70 \h \f">
              <w:r>
                <w:rPr>
                  <w:vertAlign w:val="superscript"/>
                </w:rPr>
                <w:t>70</w:t>
              </w:r>
            </w:fldSimple>
          </w:p>
        </w:tc>
        <w:tc>
          <w:tcPr/>
          <w:p>
            <w:pPr>
              <w:pStyle w:val="Compact"/>
              <w:jc w:val="left"/>
            </w:pPr>
            <w:r>
              <w:t xml:space="preserve">未公开</w:t>
            </w:r>
          </w:p>
        </w:tc>
        <w:tc>
          <w:tcPr/>
          <w:p>
            <w:pPr>
              <w:pStyle w:val="Compact"/>
              <w:jc w:val="left"/>
            </w:pPr>
            <w:r>
              <w:t xml:space="preserve">良好</w:t>
            </w:r>
          </w:p>
        </w:tc>
        <w:tc>
          <w:tcPr/>
          <w:p>
            <w:pPr>
              <w:pStyle w:val="Compact"/>
              <w:jc w:val="left"/>
            </w:pPr>
            <w:r>
              <w:t xml:space="preserve">优秀</w:t>
            </w:r>
          </w:p>
        </w:tc>
        <w:tc>
          <w:tcPr/>
          <w:p>
            <w:pPr>
              <w:pStyle w:val="Compact"/>
              <w:jc w:val="left"/>
            </w:pPr>
            <w:r>
              <w:t xml:space="preserve">★★★★☆</w:t>
            </w:r>
          </w:p>
        </w:tc>
      </w:tr>
      <w:tr>
        <w:tc>
          <w:tcPr/>
          <w:p>
            <w:pPr>
              <w:pStyle w:val="Compact"/>
              <w:jc w:val="left"/>
            </w:pPr>
            <w:r>
              <w:t xml:space="preserve">Qwen3-Max</w:t>
            </w:r>
          </w:p>
        </w:tc>
        <w:tc>
          <w:tcPr/>
          <w:p>
            <w:pPr>
              <w:pStyle w:val="Compact"/>
              <w:jc w:val="left"/>
            </w:pPr>
            <w:r>
              <w:t xml:space="preserve">未公开</w:t>
            </w:r>
          </w:p>
        </w:tc>
        <w:tc>
          <w:tcPr/>
          <w:p>
            <w:pPr>
              <w:pStyle w:val="Compact"/>
              <w:jc w:val="left"/>
            </w:pPr>
            <w:r>
              <w:t xml:space="preserve">~68分（国产第一）</w:t>
            </w:r>
            <w:fldSimple w:instr="NOTEREF _Ref_Footnote_24 \h \f">
              <w:r>
                <w:rPr>
                  <w:vertAlign w:val="superscript"/>
                </w:rPr>
                <w:t>24</w:t>
              </w:r>
            </w:fldSimple>
          </w:p>
        </w:tc>
        <w:tc>
          <w:tcPr/>
          <w:p>
            <w:pPr>
              <w:pStyle w:val="Compact"/>
              <w:jc w:val="left"/>
            </w:pPr>
            <w:r>
              <w:t xml:space="preserve">优秀</w:t>
            </w:r>
          </w:p>
        </w:tc>
        <w:tc>
          <w:tcPr/>
          <w:p>
            <w:pPr>
              <w:pStyle w:val="Compact"/>
              <w:jc w:val="left"/>
            </w:pPr>
            <w:r>
              <w:t xml:space="preserve">优秀</w:t>
            </w:r>
          </w:p>
        </w:tc>
        <w:tc>
          <w:tcPr/>
          <w:p>
            <w:pPr>
              <w:pStyle w:val="Compact"/>
              <w:jc w:val="left"/>
            </w:pPr>
            <w:r>
              <w:t xml:space="preserve">★★★★★</w:t>
            </w:r>
          </w:p>
        </w:tc>
      </w:tr>
      <w:tr>
        <w:tc>
          <w:tcPr/>
          <w:p>
            <w:pPr>
              <w:pStyle w:val="Compact"/>
              <w:jc w:val="left"/>
            </w:pPr>
            <w:r>
              <w:t xml:space="preserve">DeepSeek-R1</w:t>
            </w:r>
          </w:p>
        </w:tc>
        <w:tc>
          <w:tcPr/>
          <w:p>
            <w:pPr>
              <w:pStyle w:val="Compact"/>
              <w:jc w:val="left"/>
            </w:pPr>
            <w:r>
              <w:t xml:space="preserve">未公开</w:t>
            </w:r>
          </w:p>
        </w:tc>
        <w:tc>
          <w:tcPr/>
          <w:p>
            <w:pPr>
              <w:pStyle w:val="Compact"/>
              <w:jc w:val="left"/>
            </w:pPr>
            <w:r>
              <w:t xml:space="preserve">~65分</w:t>
            </w:r>
            <w:r>
              <w:rPr>
                <w:vertAlign w:val="superscript"/>
              </w:rPr>
              <w:footnoteReference w:id="71"/>
            </w:r>
          </w:p>
        </w:tc>
        <w:tc>
          <w:tcPr/>
          <w:p>
            <w:pPr>
              <w:pStyle w:val="Compact"/>
              <w:jc w:val="left"/>
            </w:pPr>
            <w:r>
              <w:t xml:space="preserve">良好</w:t>
            </w:r>
          </w:p>
        </w:tc>
        <w:tc>
          <w:tcPr/>
          <w:p>
            <w:pPr>
              <w:pStyle w:val="Compact"/>
              <w:jc w:val="left"/>
            </w:pPr>
            <w:r>
              <w:t xml:space="preserve">优秀</w:t>
            </w:r>
          </w:p>
        </w:tc>
        <w:tc>
          <w:tcPr/>
          <w:p>
            <w:pPr>
              <w:pStyle w:val="Compact"/>
              <w:jc w:val="left"/>
            </w:pPr>
            <w:r>
              <w:t xml:space="preserve">★★★★☆</w:t>
            </w:r>
          </w:p>
        </w:tc>
      </w:tr>
      <w:tr>
        <w:tc>
          <w:tcPr/>
          <w:p>
            <w:pPr>
              <w:pStyle w:val="Compact"/>
              <w:jc w:val="left"/>
            </w:pPr>
            <w:r>
              <w:t xml:space="preserve">ChatLaw2-MoE</w:t>
            </w:r>
          </w:p>
        </w:tc>
        <w:tc>
          <w:tcPr/>
          <w:p>
            <w:pPr>
              <w:pStyle w:val="Compact"/>
              <w:jc w:val="left"/>
            </w:pPr>
            <w:r>
              <w:t xml:space="preserve">60.08</w:t>
            </w:r>
            <w:r>
              <w:rPr>
                <w:vertAlign w:val="superscript"/>
              </w:rPr>
              <w:footnoteReference w:id="72"/>
            </w:r>
          </w:p>
        </w:tc>
        <w:tc>
          <w:tcPr/>
          <w:p>
            <w:pPr>
              <w:pStyle w:val="Compact"/>
              <w:jc w:val="left"/>
            </w:pPr>
            <w:r>
              <w:t xml:space="preserve">未公开</w:t>
            </w:r>
          </w:p>
        </w:tc>
        <w:tc>
          <w:tcPr/>
          <w:p>
            <w:pPr>
              <w:pStyle w:val="Compact"/>
              <w:jc w:val="left"/>
            </w:pPr>
            <w:r>
              <w:t xml:space="preserve">良好</w:t>
            </w:r>
          </w:p>
        </w:tc>
        <w:tc>
          <w:tcPr/>
          <w:p>
            <w:pPr>
              <w:pStyle w:val="Compact"/>
              <w:jc w:val="left"/>
            </w:pPr>
            <w:r>
              <w:t xml:space="preserve">良好</w:t>
            </w:r>
          </w:p>
        </w:tc>
        <w:tc>
          <w:tcPr/>
          <w:p>
            <w:pPr>
              <w:pStyle w:val="Compact"/>
              <w:jc w:val="left"/>
            </w:pPr>
            <w:r>
              <w:t xml:space="preserve">★★★☆☆</w:t>
            </w:r>
          </w:p>
        </w:tc>
      </w:tr>
      <w:tr>
        <w:tc>
          <w:tcPr/>
          <w:p>
            <w:pPr>
              <w:pStyle w:val="Compact"/>
              <w:jc w:val="left"/>
            </w:pPr>
            <w:r>
              <w:t xml:space="preserve">GPT-4</w:t>
            </w:r>
          </w:p>
        </w:tc>
        <w:tc>
          <w:tcPr/>
          <w:p>
            <w:pPr>
              <w:pStyle w:val="Compact"/>
              <w:jc w:val="left"/>
            </w:pPr>
            <w:r>
              <w:t xml:space="preserve">52.35</w:t>
            </w:r>
            <w:r>
              <w:rPr>
                <w:vertAlign w:val="superscript"/>
              </w:rPr>
              <w:footnoteReference w:id="73"/>
            </w:r>
          </w:p>
        </w:tc>
        <w:tc>
          <w:tcPr/>
          <w:p>
            <w:pPr>
              <w:pStyle w:val="Compact"/>
              <w:jc w:val="left"/>
            </w:pPr>
            <w:r>
              <w:t xml:space="preserve">~60分</w:t>
            </w:r>
            <w:fldSimple w:instr="NOTEREF _Ref_Footnote_24 \h \f">
              <w:r>
                <w:rPr>
                  <w:vertAlign w:val="superscript"/>
                </w:rPr>
                <w:t>24</w:t>
              </w:r>
            </w:fldSimple>
          </w:p>
        </w:tc>
        <w:tc>
          <w:tcPr/>
          <w:p>
            <w:pPr>
              <w:pStyle w:val="Compact"/>
              <w:jc w:val="left"/>
            </w:pPr>
            <w:r>
              <w:t xml:space="preserve">一般</w:t>
            </w:r>
          </w:p>
        </w:tc>
        <w:tc>
          <w:tcPr/>
          <w:p>
            <w:pPr>
              <w:pStyle w:val="Compact"/>
              <w:jc w:val="left"/>
            </w:pPr>
            <w:r>
              <w:t xml:space="preserve">一般</w:t>
            </w:r>
          </w:p>
        </w:tc>
        <w:tc>
          <w:tcPr/>
          <w:p>
            <w:pPr>
              <w:pStyle w:val="Compact"/>
              <w:jc w:val="left"/>
            </w:pPr>
            <w:r>
              <w:t xml:space="preserve">★★☆☆☆</w:t>
            </w:r>
          </w:p>
        </w:tc>
      </w:tr>
      <w:tr>
        <w:tc>
          <w:tcPr/>
          <w:p>
            <w:pPr>
              <w:pStyle w:val="Compact"/>
              <w:jc w:val="left"/>
            </w:pPr>
            <w:r>
              <w:t xml:space="preserve">文心一言4.5</w:t>
            </w:r>
          </w:p>
        </w:tc>
        <w:tc>
          <w:tcPr/>
          <w:p>
            <w:pPr>
              <w:pStyle w:val="Compact"/>
              <w:jc w:val="left"/>
            </w:pPr>
            <w:r>
              <w:t xml:space="preserve">未公开</w:t>
            </w:r>
          </w:p>
        </w:tc>
        <w:tc>
          <w:tcPr/>
          <w:p>
            <w:pPr>
              <w:pStyle w:val="Compact"/>
              <w:jc w:val="left"/>
            </w:pPr>
            <w:r>
              <w:t xml:space="preserve">~62分（估）</w:t>
            </w:r>
          </w:p>
        </w:tc>
        <w:tc>
          <w:tcPr/>
          <w:p>
            <w:pPr>
              <w:pStyle w:val="Compact"/>
              <w:jc w:val="left"/>
            </w:pPr>
            <w:r>
              <w:t xml:space="preserve">良好（严谨）</w:t>
            </w:r>
            <w:r>
              <w:rPr>
                <w:vertAlign w:val="superscript"/>
              </w:rPr>
              <w:footnoteReference w:id="74"/>
            </w:r>
          </w:p>
        </w:tc>
        <w:tc>
          <w:tcPr/>
          <w:p>
            <w:pPr>
              <w:pStyle w:val="Compact"/>
              <w:jc w:val="left"/>
            </w:pPr>
            <w:r>
              <w:t xml:space="preserve">优秀</w:t>
            </w:r>
          </w:p>
        </w:tc>
        <w:tc>
          <w:tcPr/>
          <w:p>
            <w:pPr>
              <w:pStyle w:val="Compact"/>
              <w:jc w:val="left"/>
            </w:pPr>
            <w:r>
              <w:t xml:space="preserve">★★★☆☆</w:t>
            </w:r>
          </w:p>
        </w:tc>
      </w:tr>
    </w:tbl>
    <w:p>
      <w:pPr>
        <w:pStyle w:val="BodyText"/>
      </w:pPr>
      <w:r>
        <w:t xml:space="preserve">表3-1揭示三个关键事实。第一，经过法律领域微调的专业模型在结构化评测中表现最优，但其7B参数规模限制了复杂推理能力。第二，国产通用模型在PLaw Bench中反超专业模型，说明中国法律实务对本土语境理解的要求极高。第三，国际通用模型在中国法律事务上的适配度明显不足。对于MVP开发，Qwen3-Max和DeepSeek-R1在中文法律推理和成本效益之间实现了最佳平衡。</w:t>
      </w:r>
    </w:p>
    <w:p>
      <w:pPr>
        <w:pStyle w:val="CaptionedFigure"/>
      </w:pPr>
      <w:r>
        <w:drawing>
          <wp:inline>
            <wp:extent cx="5334000" cy="2629880"/>
            <wp:effectExtent b="0" l="0" r="0" t="0"/>
            <wp:docPr descr="图3-1 主流大模型法律基准测试得分对比" title="" id="59" name="Picture"/>
            <a:graphic>
              <a:graphicData uri="http://schemas.openxmlformats.org/drawingml/2006/picture">
                <pic:pic>
                  <pic:nvPicPr>
                    <pic:cNvPr descr="fig3_1_model_benchmark.png" id="60" name="Picture"/>
                    <pic:cNvPicPr>
                      <a:picLocks noChangeArrowheads="1" noChangeAspect="1"/>
                    </pic:cNvPicPr>
                  </pic:nvPicPr>
                  <pic:blipFill>
                    <a:blip r:embed="rId58"/>
                    <a:stretch>
                      <a:fillRect/>
                    </a:stretch>
                  </pic:blipFill>
                  <pic:spPr bwMode="auto">
                    <a:xfrm>
                      <a:off x="0" y="0"/>
                      <a:ext cx="5334000" cy="2629880"/>
                    </a:xfrm>
                    <a:prstGeom prst="rect">
                      <a:avLst/>
                    </a:prstGeom>
                    <a:noFill/>
                    <a:ln w="9525">
                      <a:noFill/>
                      <a:headEnd/>
                      <a:tailEnd/>
                    </a:ln>
                  </pic:spPr>
                </pic:pic>
              </a:graphicData>
            </a:graphic>
          </wp:inline>
        </w:drawing>
      </w:r>
    </w:p>
    <w:p>
      <w:pPr>
        <w:pStyle w:val="ImageCaption"/>
      </w:pPr>
      <w:r>
        <w:t xml:space="preserve">图3-1 主流大模型法律基准测试得分对比</w:t>
      </w:r>
    </w:p>
    <w:p>
      <w:pPr>
        <w:pStyle w:val="BodyText"/>
      </w:pPr>
      <w:r>
        <w:t xml:space="preserve">图3-1直观呈现了各模型在不同评测体系下的得分分布。所有模型均未突破70%的得分线，这意味着即使表现最优的模型，每3个回答中仍可能有1个存在错误。模型能力足以提供”有价值的参考信息”，但不足以独立替代专业律师的判断。</w:t>
      </w:r>
    </w:p>
    <w:bookmarkEnd w:id="61"/>
    <w:bookmarkStart w:id="62" w:name="准确率基准plaw-bench最高得分约67-70与专业律师仍有差距"/>
    <w:p>
      <w:pPr>
        <w:pStyle w:val="Heading4"/>
      </w:pPr>
      <w:r>
        <w:t xml:space="preserve">3.1.2 准确率基准：PLaw Bench最高得分约67-70%，与专业律师仍有差距</w:t>
      </w:r>
    </w:p>
    <w:p>
      <w:pPr>
        <w:pStyle w:val="FirstParagraph"/>
      </w:pPr>
      <w:r>
        <w:t xml:space="preserve">当前大模型在法律领域的准确率天花板约为67-70%</w:t>
      </w:r>
      <w:fldSimple w:instr="NOTEREF _Ref_Footnote_70 \h \f">
        <w:r>
          <w:rPr>
            <w:vertAlign w:val="superscript"/>
          </w:rPr>
          <w:t>70</w:t>
        </w:r>
      </w:fldSimple>
      <w:r>
        <w:t xml:space="preserve"> </w:t>
      </w:r>
      <w:fldSimple w:instr="NOTEREF _Ref_Footnote_24 \h \f">
        <w:r>
          <w:rPr>
            <w:vertAlign w:val="superscript"/>
          </w:rPr>
          <w:t>24</w:t>
        </w:r>
      </w:fldSimple>
      <w:r>
        <w:t xml:space="preserve">。上海交通大学左卫民教授的研究指出，即便DeepSeek-R1和OpenAI o1等最先进的推理模型，在处理涉及多被告案件的法律判决与推理论证、理解专业法律术语以及执行复杂法律推理等方面仍存在明显局限</w:t>
      </w:r>
      <w:r>
        <w:rPr>
          <w:vertAlign w:val="superscript"/>
        </w:rPr>
        <w:footnoteReference w:id="75"/>
      </w:r>
      <w:r>
        <w:t xml:space="preserve">。</w:t>
      </w:r>
    </w:p>
    <w:p>
      <w:pPr>
        <w:pStyle w:val="BodyText"/>
      </w:pPr>
      <w:r>
        <w:t xml:space="preserve">对于劳动仲裁咨询，65-70%的准确率意味着模型能够正确识别常见争议类型（违法解除、拖欠工资、未签劳动合同）并援引基本法律框架，但在涉及地方法规差异和边缘案例时出错概率显著上升。通义千问在司法考试客观题中准确率达87%</w:t>
      </w:r>
      <w:fldSimple w:instr="NOTEREF _Ref_Footnote_51 \h \f">
        <w:r>
          <w:rPr>
            <w:vertAlign w:val="superscript"/>
          </w:rPr>
          <w:t>51</w:t>
        </w:r>
      </w:fldSimple>
      <w:r>
        <w:t xml:space="preserve">，但该成绩反映的是标准化选择题能力，与开放域法律咨询的准确率不可等同。DeepSeek-R1在法律计算任务中准确率达90.54%</w:t>
      </w:r>
      <w:fldSimple w:instr="NOTEREF _Ref_Footnote_71 \h \f">
        <w:r>
          <w:rPr>
            <w:vertAlign w:val="superscript"/>
          </w:rPr>
          <w:t>71</w:t>
        </w:r>
      </w:fldSimple>
      <w:r>
        <w:t xml:space="preserve">，但法律多跳推理（71.67%）和辩论挖掘（57.79%）的得分仍暴露出推理深度不足</w:t>
      </w:r>
      <w:fldSimple w:instr="NOTEREF _Ref_Footnote_71 \h \f">
        <w:r>
          <w:rPr>
            <w:vertAlign w:val="superscript"/>
          </w:rPr>
          <w:t>71</w:t>
        </w:r>
      </w:fldSimple>
      <w:r>
        <w:t xml:space="preserve">。</w:t>
      </w:r>
    </w:p>
    <w:bookmarkEnd w:id="62"/>
    <w:bookmarkStart w:id="63" w:name="法律领域幻觉率17-35表现为虚构法条伪造判例引用过期法规"/>
    <w:p>
      <w:pPr>
        <w:pStyle w:val="Heading4"/>
      </w:pPr>
      <w:r>
        <w:t xml:space="preserve">3.1.3 法律领域幻觉率：17-35%，表现为虚构法条、伪造判例、引用过期法规</w:t>
      </w:r>
    </w:p>
    <w:p>
      <w:pPr>
        <w:pStyle w:val="FirstParagraph"/>
      </w:pPr>
      <w:r>
        <w:t xml:space="preserve">AI幻觉（Hallucination）——即模型生成看似合理但实际错误的内容——是法律AI应用中最具破坏性的技术风险。在法律领域，幻觉主要表现为三种形式：虚构法律渊源（生成虚假的规范性文件及文号）、伪造司法案例（编造完整案号与案例细节）、以及错位解读或引用过期条文</w:t>
      </w:r>
      <w:r>
        <w:rPr>
          <w:vertAlign w:val="superscript"/>
        </w:rPr>
        <w:footnoteReference w:id="76"/>
      </w:r>
      <w:r>
        <w:t xml:space="preserve">。</w:t>
      </w:r>
    </w:p>
    <w:p>
      <w:pPr>
        <w:pStyle w:val="BodyText"/>
      </w:pPr>
      <w:r>
        <w:t xml:space="preserve">最高人民检察院理论研究所2025年9月的研究系统梳理了检察场景中的AI幻觉风险：类案推送可能生成虚假类案，证据审查可能放大间接证据的解释强度，量刑建议可能基于统计共性而非法律规范推导</w:t>
      </w:r>
      <w:r>
        <w:rPr>
          <w:vertAlign w:val="superscript"/>
        </w:rPr>
        <w:footnoteReference w:id="77"/>
      </w:r>
      <w:r>
        <w:t xml:space="preserve">。国际案例同样触目惊心：美国纽约南区联邦法院曾发现律师提交的6个ChatGPT生成判例完全虚构</w:t>
      </w:r>
      <w:fldSimple w:instr="NOTEREF _Ref_Footnote_30 \h \f">
        <w:r>
          <w:rPr>
            <w:vertAlign w:val="superscript"/>
          </w:rPr>
          <w:t>30</w:t>
        </w:r>
      </w:fldSimple>
      <w:r>
        <w:t xml:space="preserve">；英国高等法院2025年6月在一起索赔8900万英镑的案件中，发现45项判例法引用中有18项系虚构</w:t>
      </w:r>
      <w:fldSimple w:instr="NOTEREF _Ref_Footnote_65 \h \f">
        <w:r>
          <w:rPr>
            <w:vertAlign w:val="superscript"/>
          </w:rPr>
          <w:t>65</w:t>
        </w:r>
      </w:fldSimple>
      <w:r>
        <w:t xml:space="preserve">。</w:t>
      </w:r>
    </w:p>
    <w:p>
      <w:pPr>
        <w:pStyle w:val="BodyText"/>
      </w:pPr>
      <w:r>
        <w:t xml:space="preserve">2025年4月发表的预注册实证研究显示，LexisNexis和汤森路透等基于RAG（检索增强生成，Retrieval-Augmented Generation）技术的专业法律AI工具，幻觉率仍在17%-33%之间</w:t>
      </w:r>
      <w:fldSimple w:instr="NOTEREF _Ref_Footnote_30 \h \f">
        <w:r>
          <w:rPr>
            <w:vertAlign w:val="superscript"/>
          </w:rPr>
          <w:t>30</w:t>
        </w:r>
      </w:fldSimple>
      <w:r>
        <w:t xml:space="preserve">。业内专家共识认为，大模型本质上是”黑箱”系统，缺乏对自身知识边界的准确判断能力</w:t>
      </w:r>
      <w:fldSimple w:instr="NOTEREF _Ref_Footnote_30 \h \f">
        <w:r>
          <w:rPr>
            <w:vertAlign w:val="superscript"/>
          </w:rPr>
          <w:t>30</w:t>
        </w:r>
      </w:fldSimple>
      <w:r>
        <w:t xml:space="preserve"> </w:t>
      </w:r>
      <w:fldSimple w:instr="NOTEREF _Ref_Footnote_46 \h \f">
        <w:r>
          <w:rPr>
            <w:vertAlign w:val="superscript"/>
          </w:rPr>
          <w:t>46</w:t>
        </w:r>
      </w:fldSimple>
      <w:r>
        <w:t xml:space="preserve">。对于劳动仲裁智能体，每一次法条引用、判例参考和金额计算都需要经过验证机制过滤。</w:t>
      </w:r>
    </w:p>
    <w:bookmarkEnd w:id="63"/>
    <w:bookmarkStart w:id="64" w:name="经济补偿金计算短板模型对违法解除定性不敏感倾向按n而非2n计算"/>
    <w:p>
      <w:pPr>
        <w:pStyle w:val="Heading4"/>
      </w:pPr>
      <w:r>
        <w:t xml:space="preserve">3.1.4 经济补偿金计算短板：模型对”违法解除”定性不敏感，倾向按N而非2N计算</w:t>
      </w:r>
    </w:p>
    <w:p>
      <w:pPr>
        <w:pStyle w:val="FirstParagraph"/>
      </w:pPr>
      <w:r>
        <w:t xml:space="preserve">经济补偿金的准确计算是劳动仲裁智能体的核心功能，但实测数据表明这恰恰是大模型的显著短板。阿里云天池平台上开发者的实战记录显示：无论用户描述”无故辞退”还是”违法解除”，智能体都只输出N而非2N，原因在于模型对”违法解除”不够敏感，倾向于按最常见的”经济补偿金”计算</w:t>
      </w:r>
      <w:r>
        <w:rPr>
          <w:vertAlign w:val="superscript"/>
        </w:rPr>
        <w:footnoteReference w:id="78"/>
      </w:r>
      <w:r>
        <w:t xml:space="preserve">。</w:t>
      </w:r>
    </w:p>
    <w:p>
      <w:pPr>
        <w:pStyle w:val="BodyText"/>
      </w:pPr>
      <w:r>
        <w:t xml:space="preserve">这一偏差的根源在于训练数据分布——协商解除和合法解除数量远多于违法解除，模型因此学习到”保守”倾向。纠正需Prompt工程硬编码干预：嵌入”违法解除关键词列表”要求命中即按2N计算，并在输出格式中增加”辞退性质”字段强制先定性再计算</w:t>
      </w:r>
      <w:fldSimple w:instr="NOTEREF _Ref_Footnote_78 \h \f">
        <w:r>
          <w:rPr>
            <w:vertAlign w:val="superscript"/>
          </w:rPr>
          <w:t>78</w:t>
        </w:r>
      </w:fldSimple>
      <w:r>
        <w:t xml:space="preserve">。赔偿计算还涉及工作年限、应发工资、最低工资下限、社平工资3倍上限等多个细节</w:t>
      </w:r>
      <w:r>
        <w:rPr>
          <w:vertAlign w:val="superscript"/>
        </w:rPr>
        <w:footnoteReference w:id="79"/>
      </w:r>
      <w:r>
        <w:t xml:space="preserve"> </w:t>
      </w:r>
      <w:fldSimple w:instr="NOTEREF _Ref_Footnote_39 \h \f">
        <w:r>
          <w:rPr>
            <w:vertAlign w:val="superscript"/>
          </w:rPr>
          <w:t>39</w:t>
        </w:r>
      </w:fldSimple>
      <w:r>
        <w:t xml:space="preserve">。无锡市人社局官方解读特别强调”’2N+1’没有法律依据”</w:t>
      </w:r>
      <w:fldSimple w:instr="NOTEREF _Ref_Footnote_79 \h \f">
        <w:r>
          <w:rPr>
            <w:vertAlign w:val="superscript"/>
          </w:rPr>
          <w:t>79</w:t>
        </w:r>
      </w:fldSimple>
      <w:r>
        <w:t xml:space="preserve">，但模型在无约束下易将此民间概念当作正式规则。实测中1.8B参数小模型在赔偿计算中出现错误，替换为4B模型后才不再出错</w:t>
      </w:r>
      <w:r>
        <w:rPr>
          <w:vertAlign w:val="superscript"/>
        </w:rPr>
        <w:footnoteReference w:id="80"/>
      </w:r>
      <w:r>
        <w:t xml:space="preserve">，说明赔偿计算对模型推理能力有明确的参数门槛。</w:t>
      </w:r>
    </w:p>
    <w:bookmarkEnd w:id="64"/>
    <w:bookmarkEnd w:id="65"/>
    <w:bookmarkStart w:id="69" w:name="技术架构与mvp方案"/>
    <w:p>
      <w:pPr>
        <w:pStyle w:val="Heading3"/>
      </w:pPr>
      <w:r>
        <w:t xml:space="preserve">3.2 技术架构与MVP方案</w:t>
      </w:r>
    </w:p>
    <w:bookmarkStart w:id="66" w:name="X6fd1fbf9bf7865d366e6f47142d78d29e70857d"/>
    <w:p>
      <w:pPr>
        <w:pStyle w:val="Heading4"/>
      </w:pPr>
      <w:r>
        <w:t xml:space="preserve">3.2.1 零成本技术栈：Gemini 2.5 Flash-Lite免费层（1000 RPD/天）+ Next.js + Vercel部署</w:t>
      </w:r>
    </w:p>
    <w:p>
      <w:pPr>
        <w:pStyle w:val="FirstParagraph"/>
      </w:pPr>
      <w:r>
        <w:t xml:space="preserve">在用户完全依赖大模型能力、无语料库API资源的约束下，零成本技术栈的可行性已得到验证。2025年至2026年，主流大模型API价格较2024年下降约80%</w:t>
      </w:r>
      <w:r>
        <w:rPr>
          <w:vertAlign w:val="superscript"/>
        </w:rPr>
        <w:footnoteReference w:id="81"/>
      </w:r>
      <w:r>
        <w:t xml:space="preserve">，多平台推出慷慨的免费层。</w:t>
      </w:r>
    </w:p>
    <w:p>
      <w:pPr>
        <w:pStyle w:val="BodyText"/>
      </w:pPr>
      <w:r>
        <w:rPr>
          <w:bCs/>
          <w:b/>
        </w:rPr>
        <w:t xml:space="preserve">表3-2 零成本MVP技术栈方案</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组件层</w:t>
            </w:r>
          </w:p>
        </w:tc>
        <w:tc>
          <w:tcPr/>
          <w:p>
            <w:pPr>
              <w:pStyle w:val="Compact"/>
              <w:jc w:val="left"/>
            </w:pPr>
            <w:r>
              <w:t xml:space="preserve">推荐方案</w:t>
            </w:r>
          </w:p>
        </w:tc>
        <w:tc>
          <w:tcPr/>
          <w:p>
            <w:pPr>
              <w:pStyle w:val="Compact"/>
              <w:jc w:val="left"/>
            </w:pPr>
            <w:r>
              <w:t xml:space="preserve">免费额度</w:t>
            </w:r>
          </w:p>
        </w:tc>
        <w:tc>
          <w:tcPr/>
          <w:p>
            <w:pPr>
              <w:pStyle w:val="Compact"/>
              <w:jc w:val="left"/>
            </w:pPr>
            <w:r>
              <w:t xml:space="preserve">技术特点</w:t>
            </w:r>
          </w:p>
        </w:tc>
        <w:tc>
          <w:tcPr/>
          <w:p>
            <w:pPr>
              <w:pStyle w:val="Compact"/>
              <w:jc w:val="left"/>
            </w:pPr>
            <w:r>
              <w:t xml:space="preserve">适用阶段</w:t>
            </w:r>
          </w:p>
        </w:tc>
      </w:tr>
      <w:tr>
        <w:tc>
          <w:tcPr/>
          <w:p>
            <w:pPr>
              <w:pStyle w:val="Compact"/>
              <w:jc w:val="left"/>
            </w:pPr>
            <w:r>
              <w:t xml:space="preserve">LLM API（主模型）</w:t>
            </w:r>
          </w:p>
        </w:tc>
        <w:tc>
          <w:tcPr/>
          <w:p>
            <w:pPr>
              <w:pStyle w:val="Compact"/>
              <w:jc w:val="left"/>
            </w:pPr>
            <w:r>
              <w:t xml:space="preserve">Gemini 2.5 Flash-Lite</w:t>
            </w:r>
          </w:p>
        </w:tc>
        <w:tc>
          <w:tcPr/>
          <w:p>
            <w:pPr>
              <w:pStyle w:val="Compact"/>
              <w:jc w:val="left"/>
            </w:pPr>
            <w:r>
              <w:t xml:space="preserve">1,000 RPD/天</w:t>
            </w:r>
            <w:fldSimple w:instr="NOTEREF _Ref_Footnote_5 \h \f">
              <w:r>
                <w:rPr>
                  <w:vertAlign w:val="superscript"/>
                </w:rPr>
                <w:t>5</w:t>
              </w:r>
            </w:fldSimple>
          </w:p>
        </w:tc>
        <w:tc>
          <w:tcPr/>
          <w:p>
            <w:pPr>
              <w:pStyle w:val="Compact"/>
              <w:jc w:val="left"/>
            </w:pPr>
            <w:r>
              <w:t xml:space="preserve">1M上下文窗口</w:t>
            </w:r>
          </w:p>
        </w:tc>
        <w:tc>
          <w:tcPr/>
          <w:p>
            <w:pPr>
              <w:pStyle w:val="Compact"/>
              <w:jc w:val="left"/>
            </w:pPr>
            <w:r>
              <w:t xml:space="preserve">MVP全流程</w:t>
            </w:r>
          </w:p>
        </w:tc>
      </w:tr>
      <w:tr>
        <w:tc>
          <w:tcPr/>
          <w:p>
            <w:pPr>
              <w:pStyle w:val="Compact"/>
              <w:jc w:val="left"/>
            </w:pPr>
            <w:r>
              <w:t xml:space="preserve">LLM API（备用1）</w:t>
            </w:r>
          </w:p>
        </w:tc>
        <w:tc>
          <w:tcPr/>
          <w:p>
            <w:pPr>
              <w:pStyle w:val="Compact"/>
              <w:jc w:val="left"/>
            </w:pPr>
            <w:r>
              <w:t xml:space="preserve">DeepSeek V3.2</w:t>
            </w:r>
          </w:p>
        </w:tc>
        <w:tc>
          <w:tcPr/>
          <w:p>
            <w:pPr>
              <w:pStyle w:val="Compact"/>
              <w:jc w:val="left"/>
            </w:pPr>
            <w:r>
              <w:t xml:space="preserve">500万token</w:t>
            </w:r>
            <w:fldSimple w:instr="NOTEREF _Ref_Footnote_18 \h \f">
              <w:r>
                <w:rPr>
                  <w:vertAlign w:val="superscript"/>
                </w:rPr>
                <w:t>18</w:t>
              </w:r>
            </w:fldSimple>
          </w:p>
        </w:tc>
        <w:tc>
          <w:tcPr/>
          <w:p>
            <w:pPr>
              <w:pStyle w:val="Compact"/>
              <w:jc w:val="left"/>
            </w:pPr>
            <w:r>
              <w:t xml:space="preserve">中文推理极强</w:t>
            </w:r>
          </w:p>
        </w:tc>
        <w:tc>
          <w:tcPr/>
          <w:p>
            <w:pPr>
              <w:pStyle w:val="Compact"/>
              <w:jc w:val="left"/>
            </w:pPr>
            <w:r>
              <w:t xml:space="preserve">开发测试</w:t>
            </w:r>
          </w:p>
        </w:tc>
      </w:tr>
      <w:tr>
        <w:tc>
          <w:tcPr/>
          <w:p>
            <w:pPr>
              <w:pStyle w:val="Compact"/>
              <w:jc w:val="left"/>
            </w:pPr>
            <w:r>
              <w:t xml:space="preserve">LLM API（备用2）</w:t>
            </w:r>
          </w:p>
        </w:tc>
        <w:tc>
          <w:tcPr/>
          <w:p>
            <w:pPr>
              <w:pStyle w:val="Compact"/>
              <w:jc w:val="left"/>
            </w:pPr>
            <w:r>
              <w:t xml:space="preserve">智谱GLM-4-Flash</w:t>
            </w:r>
          </w:p>
        </w:tc>
        <w:tc>
          <w:tcPr/>
          <w:p>
            <w:pPr>
              <w:pStyle w:val="Compact"/>
              <w:jc w:val="left"/>
            </w:pPr>
            <w:r>
              <w:t xml:space="preserve">无限调用（QPS 30）</w:t>
            </w:r>
            <w:fldSimple w:instr="NOTEREF _Ref_Footnote_19 \h \f">
              <w:r>
                <w:rPr>
                  <w:vertAlign w:val="superscript"/>
                </w:rPr>
                <w:t>19</w:t>
              </w:r>
            </w:fldSimple>
          </w:p>
        </w:tc>
        <w:tc>
          <w:tcPr/>
          <w:p>
            <w:pPr>
              <w:pStyle w:val="Compact"/>
              <w:jc w:val="left"/>
            </w:pPr>
            <w:r>
              <w:t xml:space="preserve">国产，响应稳定</w:t>
            </w:r>
          </w:p>
        </w:tc>
        <w:tc>
          <w:tcPr/>
          <w:p>
            <w:pPr>
              <w:pStyle w:val="Compact"/>
              <w:jc w:val="left"/>
            </w:pPr>
            <w:r>
              <w:t xml:space="preserve">生产备用</w:t>
            </w:r>
          </w:p>
        </w:tc>
      </w:tr>
      <w:tr>
        <w:tc>
          <w:tcPr/>
          <w:p>
            <w:pPr>
              <w:pStyle w:val="Compact"/>
              <w:jc w:val="left"/>
            </w:pPr>
            <w:r>
              <w:t xml:space="preserve">前端框架</w:t>
            </w:r>
          </w:p>
        </w:tc>
        <w:tc>
          <w:tcPr/>
          <w:p>
            <w:pPr>
              <w:pStyle w:val="Compact"/>
              <w:jc w:val="left"/>
            </w:pPr>
            <w:r>
              <w:t xml:space="preserve">Next.js + React</w:t>
            </w:r>
          </w:p>
        </w:tc>
        <w:tc>
          <w:tcPr/>
          <w:p>
            <w:pPr>
              <w:pStyle w:val="Compact"/>
              <w:jc w:val="left"/>
            </w:pPr>
            <w:r>
              <w:t xml:space="preserve">开源免费</w:t>
            </w:r>
          </w:p>
        </w:tc>
        <w:tc>
          <w:tcPr/>
          <w:p>
            <w:pPr>
              <w:pStyle w:val="Compact"/>
              <w:jc w:val="left"/>
            </w:pPr>
            <w:r>
              <w:t xml:space="preserve">SEO友好，流式响应</w:t>
            </w:r>
          </w:p>
        </w:tc>
        <w:tc>
          <w:tcPr/>
          <w:p>
            <w:pPr>
              <w:pStyle w:val="Compact"/>
              <w:jc w:val="left"/>
            </w:pPr>
            <w:r>
              <w:t xml:space="preserve">生产部署</w:t>
            </w:r>
          </w:p>
        </w:tc>
      </w:tr>
      <w:tr>
        <w:tc>
          <w:tcPr/>
          <w:p>
            <w:pPr>
              <w:pStyle w:val="Compact"/>
              <w:jc w:val="left"/>
            </w:pPr>
            <w:r>
              <w:t xml:space="preserve">AI SDK</w:t>
            </w:r>
          </w:p>
        </w:tc>
        <w:tc>
          <w:tcPr/>
          <w:p>
            <w:pPr>
              <w:pStyle w:val="Compact"/>
              <w:jc w:val="left"/>
            </w:pPr>
            <w:r>
              <w:t xml:space="preserve">Vercel AI SDK</w:t>
            </w:r>
          </w:p>
        </w:tc>
        <w:tc>
          <w:tcPr/>
          <w:p>
            <w:pPr>
              <w:pStyle w:val="Compact"/>
              <w:jc w:val="left"/>
            </w:pPr>
            <w:r>
              <w:t xml:space="preserve">开源免费</w:t>
            </w:r>
            <w:fldSimple w:instr="NOTEREF _Ref_Footnote_20 \h \f">
              <w:r>
                <w:rPr>
                  <w:vertAlign w:val="superscript"/>
                </w:rPr>
                <w:t>20</w:t>
              </w:r>
            </w:fldSimple>
          </w:p>
        </w:tc>
        <w:tc>
          <w:tcPr/>
          <w:p>
            <w:pPr>
              <w:pStyle w:val="Compact"/>
              <w:jc w:val="left"/>
            </w:pPr>
            <w:r>
              <w:t xml:space="preserve">统一API，一键切换</w:t>
            </w:r>
          </w:p>
        </w:tc>
        <w:tc>
          <w:tcPr/>
          <w:p>
            <w:pPr>
              <w:pStyle w:val="Compact"/>
              <w:jc w:val="left"/>
            </w:pPr>
            <w:r>
              <w:t xml:space="preserve">全阶段</w:t>
            </w:r>
          </w:p>
        </w:tc>
      </w:tr>
      <w:tr>
        <w:tc>
          <w:tcPr/>
          <w:p>
            <w:pPr>
              <w:pStyle w:val="Compact"/>
              <w:jc w:val="left"/>
            </w:pPr>
            <w:r>
              <w:t xml:space="preserve">部署平台</w:t>
            </w:r>
          </w:p>
        </w:tc>
        <w:tc>
          <w:tcPr/>
          <w:p>
            <w:pPr>
              <w:pStyle w:val="Compact"/>
              <w:jc w:val="left"/>
            </w:pPr>
            <w:r>
              <w:t xml:space="preserve">Vercel</w:t>
            </w:r>
          </w:p>
        </w:tc>
        <w:tc>
          <w:tcPr/>
          <w:p>
            <w:pPr>
              <w:pStyle w:val="Compact"/>
              <w:jc w:val="left"/>
            </w:pPr>
            <w:r>
              <w:t xml:space="preserve">无限个人项目</w:t>
            </w:r>
            <w:fldSimple w:instr="NOTEREF _Ref_Footnote_20 \h \f">
              <w:r>
                <w:rPr>
                  <w:vertAlign w:val="superscript"/>
                </w:rPr>
                <w:t>20</w:t>
              </w:r>
            </w:fldSimple>
          </w:p>
        </w:tc>
        <w:tc>
          <w:tcPr/>
          <w:p>
            <w:pPr>
              <w:pStyle w:val="Compact"/>
              <w:jc w:val="left"/>
            </w:pPr>
            <w:r>
              <w:t xml:space="preserve">自动HTTPS/CDN</w:t>
            </w:r>
          </w:p>
        </w:tc>
        <w:tc>
          <w:tcPr/>
          <w:p>
            <w:pPr>
              <w:pStyle w:val="Compact"/>
              <w:jc w:val="left"/>
            </w:pPr>
            <w:r>
              <w:t xml:space="preserve">生产部署</w:t>
            </w:r>
          </w:p>
        </w:tc>
      </w:tr>
      <w:tr>
        <w:tc>
          <w:tcPr/>
          <w:p>
            <w:pPr>
              <w:pStyle w:val="Compact"/>
              <w:jc w:val="left"/>
            </w:pPr>
            <w:r>
              <w:t xml:space="preserve">数据存储</w:t>
            </w:r>
          </w:p>
        </w:tc>
        <w:tc>
          <w:tcPr/>
          <w:p>
            <w:pPr>
              <w:pStyle w:val="Compact"/>
              <w:jc w:val="left"/>
            </w:pPr>
            <w:r>
              <w:t xml:space="preserve">localStorage + 客户端加密</w:t>
            </w:r>
          </w:p>
        </w:tc>
        <w:tc>
          <w:tcPr/>
          <w:p>
            <w:pPr>
              <w:pStyle w:val="Compact"/>
              <w:jc w:val="left"/>
            </w:pPr>
            <w:r>
              <w:t xml:space="preserve">零成本</w:t>
            </w:r>
            <w:fldSimple w:instr="NOTEREF _Ref_Footnote_7 \h \f">
              <w:r>
                <w:rPr>
                  <w:vertAlign w:val="superscript"/>
                </w:rPr>
                <w:t>7</w:t>
              </w:r>
            </w:fldSimple>
          </w:p>
        </w:tc>
        <w:tc>
          <w:tcPr/>
          <w:p>
            <w:pPr>
              <w:pStyle w:val="Compact"/>
              <w:jc w:val="left"/>
            </w:pPr>
            <w:r>
              <w:t xml:space="preserve">数据不出浏览器</w:t>
            </w:r>
          </w:p>
        </w:tc>
        <w:tc>
          <w:tcPr/>
          <w:p>
            <w:pPr>
              <w:pStyle w:val="Compact"/>
              <w:jc w:val="left"/>
            </w:pPr>
            <w:r>
              <w:t xml:space="preserve">MVP阶段</w:t>
            </w:r>
          </w:p>
        </w:tc>
      </w:tr>
    </w:tbl>
    <w:p>
      <w:pPr>
        <w:pStyle w:val="BodyText"/>
      </w:pPr>
      <w:r>
        <w:t xml:space="preserve">表3-2所列技术栈的总月度运营成本在MVP阶段为零。Gemini 2.5 Flash-Lite的1,000 RPD足以支撑日均数百名用户</w:t>
      </w:r>
      <w:fldSimple w:instr="NOTEREF _Ref_Footnote_5 \h \f">
        <w:r>
          <w:rPr>
            <w:vertAlign w:val="superscript"/>
          </w:rPr>
          <w:t>5</w:t>
        </w:r>
      </w:fldSimple>
      <w:r>
        <w:t xml:space="preserve">。超出限额时，DeepSeek V3.2付费层价格仅$0.28/$0.42 per M tokens</w:t>
      </w:r>
      <w:fldSimple w:instr="NOTEREF _Ref_Footnote_81 \h \f">
        <w:r>
          <w:rPr>
            <w:vertAlign w:val="superscript"/>
          </w:rPr>
          <w:t>81</w:t>
        </w:r>
      </w:fldSimple>
      <w:r>
        <w:t xml:space="preserve">，月均成本预计$5-20。Next.js + Vercel提供服务器端渲染和流式文本生成支持，Vercel AI SDK通过统一接口屏蔽LLM提供商差异</w:t>
      </w:r>
      <w:fldSimple w:instr="NOTEREF _Ref_Footnote_20 \h \f">
        <w:r>
          <w:rPr>
            <w:vertAlign w:val="superscript"/>
          </w:rPr>
          <w:t>20</w:t>
        </w:r>
      </w:fldSimple>
      <w:r>
        <w:t xml:space="preserve">。数据存储采用纯前端方案，通过Web Crypto API实现AES-GCM客户端加密</w:t>
      </w:r>
      <w:fldSimple w:instr="NOTEREF _Ref_Footnote_7 \h \f">
        <w:r>
          <w:rPr>
            <w:vertAlign w:val="superscript"/>
          </w:rPr>
          <w:t>7</w:t>
        </w:r>
      </w:fldSimple>
      <w:r>
        <w:t xml:space="preserve">，消除服务端数据合规风险。</w:t>
      </w:r>
    </w:p>
    <w:bookmarkEnd w:id="66"/>
    <w:bookmarkStart w:id="67" w:name="X3c5e2fc4c03e9274246023c2ee268e2b363e078"/>
    <w:p>
      <w:pPr>
        <w:pStyle w:val="Heading4"/>
      </w:pPr>
      <w:r>
        <w:t xml:space="preserve">3.2.2 单模型方案足够MVP：单一强大模型+精心设计的Prompt，无需复杂Multi-Agent架构</w:t>
      </w:r>
    </w:p>
    <w:p>
      <w:pPr>
        <w:pStyle w:val="FirstParagraph"/>
      </w:pPr>
      <w:r>
        <w:t xml:space="preserve">MVP阶段的架构选择应遵循”足够好即最优”原则。2026年的技术调研明确显示，单一强大模型配合精心设计的Prompt即可满足劳动仲裁场景需求，Multi-Agent架构在MVP阶段属于过度设计</w:t>
      </w:r>
      <w:r>
        <w:rPr>
          <w:vertAlign w:val="superscript"/>
        </w:rPr>
        <w:footnoteReference w:id="82"/>
      </w:r>
      <w:r>
        <w:t xml:space="preserve">。</w:t>
      </w:r>
    </w:p>
    <w:p>
      <w:pPr>
        <w:pStyle w:val="BodyText"/>
      </w:pPr>
      <w:r>
        <w:t xml:space="preserve">当前主流大模型已具备同时处理意图理解、法律分析、文书生成的综合能力。多模型协作虽可分工优化各环节，但其路由编排复杂度、串行调用延迟和翻倍API成本在MVP阶段并不划算</w:t>
      </w:r>
      <w:fldSimple w:instr="NOTEREF _Ref_Footnote_82 \h \f">
        <w:r>
          <w:rPr>
            <w:vertAlign w:val="superscript"/>
          </w:rPr>
          <w:t>82</w:t>
        </w:r>
      </w:fldSimple>
      <w:r>
        <w:t xml:space="preserve">。推荐采用简化版Plan-and-Execute架构：意图识别→信息补全→法律分析→输出生成，每步一次独立LLM调用，Step间可插入人工确认节点，全程结构化JSON输出。深圳福田区”政小今”AI数智员工的实践证明了该架构的有效性：工作人员上传庭审笔录后AI系统整理关键要素，核实后一键生成裁决书，全程从4小时缩短至4分钟</w:t>
      </w:r>
      <w:r>
        <w:rPr>
          <w:vertAlign w:val="superscript"/>
        </w:rPr>
        <w:footnoteReference w:id="83"/>
      </w:r>
      <w:r>
        <w:t xml:space="preserve">。</w:t>
      </w:r>
    </w:p>
    <w:bookmarkEnd w:id="67"/>
    <w:bookmarkStart w:id="68" w:name="Xeb68ea25153a5d8462d21b8a1a7ed1fc8c5242c"/>
    <w:p>
      <w:pPr>
        <w:pStyle w:val="Heading4"/>
      </w:pPr>
      <w:r>
        <w:t xml:space="preserve">3.2.3 Prompt工程三层防护：Chain-of-Thought→约束生成→自我校验，可将幻觉率降低55-74%</w:t>
      </w:r>
    </w:p>
    <w:p>
      <w:pPr>
        <w:pStyle w:val="FirstParagraph"/>
      </w:pPr>
      <w:r>
        <w:t xml:space="preserve">在缺乏RAG系统的情况下，Prompt工程是控制幻觉率的核心手段。分层防护体系可在无外部语料库条件下将法律领域幻觉率降低55-74%</w:t>
      </w:r>
      <w:fldSimple w:instr="NOTEREF _Ref_Footnote_21 \h \f">
        <w:r>
          <w:rPr>
            <w:vertAlign w:val="superscript"/>
          </w:rPr>
          <w:t>21</w:t>
        </w:r>
      </w:fldSimple>
      <w:r>
        <w:t xml:space="preserve"> </w:t>
      </w:r>
      <w:fldSimple w:instr="NOTEREF _Ref_Footnote_22 \h \f">
        <w:r>
          <w:rPr>
            <w:vertAlign w:val="superscript"/>
          </w:rPr>
          <w:t>22</w:t>
        </w:r>
      </w:fldSimple>
      <w:r>
        <w:t xml:space="preserve"> </w:t>
      </w:r>
      <w:fldSimple w:instr="NOTEREF _Ref_Footnote_23 \h \f">
        <w:r>
          <w:rPr>
            <w:vertAlign w:val="superscript"/>
          </w:rPr>
          <w:t>23</w:t>
        </w:r>
      </w:fldSimple>
      <w:r>
        <w:t xml:space="preserve">。</w:t>
      </w:r>
    </w:p>
    <w:p>
      <w:pPr>
        <w:pStyle w:val="BodyText"/>
      </w:pPr>
      <w:r>
        <w:t xml:space="preserve">第一层为Prompt级干预，包含四项技术。</w:t>
      </w:r>
      <w:r>
        <w:rPr>
          <w:bCs/>
          <w:b/>
        </w:rPr>
        <w:t xml:space="preserve">Chain-of-Thought（CoT，思维链）</w:t>
      </w:r>
      <w:r>
        <w:t xml:space="preserve">要求模型展示逐步推理过程，研究表明其对LLaMA 2和OpenChat-3.5的幻觉减少效果最显著</w:t>
      </w:r>
      <w:fldSimple w:instr="NOTEREF _Ref_Footnote_22 \h \f">
        <w:r>
          <w:rPr>
            <w:vertAlign w:val="superscript"/>
          </w:rPr>
          <w:t>22</w:t>
        </w:r>
      </w:fldSimple>
      <w:r>
        <w:t xml:space="preserve">。</w:t>
      </w:r>
      <w:r>
        <w:rPr>
          <w:bCs/>
          <w:b/>
        </w:rPr>
        <w:t xml:space="preserve">Negative Prompting（负向提示）</w:t>
      </w:r>
      <w:r>
        <w:t xml:space="preserve">明确禁止编造内容</w:t>
      </w:r>
      <w:fldSimple w:instr="NOTEREF _Ref_Footnote_22 \h \f">
        <w:r>
          <w:rPr>
            <w:vertAlign w:val="superscript"/>
          </w:rPr>
          <w:t>22</w:t>
        </w:r>
      </w:fldSimple>
      <w:r>
        <w:t xml:space="preserve">。</w:t>
      </w:r>
      <w:r>
        <w:rPr>
          <w:bCs/>
          <w:b/>
        </w:rPr>
        <w:t xml:space="preserve">约束生成</w:t>
      </w:r>
      <w:r>
        <w:t xml:space="preserve">通过JSON Schema限制输出格式。</w:t>
      </w:r>
      <w:r>
        <w:rPr>
          <w:bCs/>
          <w:b/>
        </w:rPr>
        <w:t xml:space="preserve">Few-shot示例</w:t>
      </w:r>
      <w:r>
        <w:t xml:space="preserve">提供2-3个高质量法律分析范例</w:t>
      </w:r>
      <w:r>
        <w:rPr>
          <w:vertAlign w:val="superscript"/>
        </w:rPr>
        <w:footnoteReference w:id="84"/>
      </w:r>
      <w:r>
        <w:t xml:space="preserve">。</w:t>
      </w:r>
    </w:p>
    <w:p>
      <w:pPr>
        <w:pStyle w:val="BodyText"/>
      </w:pPr>
      <w:r>
        <w:t xml:space="preserve">第二层为输出验证层，校验格式合规性、法条编号格式、金额合理性，并要求模型标注置信度（高/中/低）</w:t>
      </w:r>
      <w:r>
        <w:rPr>
          <w:vertAlign w:val="superscript"/>
        </w:rPr>
        <w:footnoteReference w:id="85"/>
      </w:r>
      <w:r>
        <w:t xml:space="preserve">。第三层为自我校验层，要求模型对输出进行二次检查。多模型交叉验证作为低成本补充方案，对关键问题使用两个模型分别回答，对比一致性后提示用户核实。</w:t>
      </w:r>
    </w:p>
    <w:p>
      <w:pPr>
        <w:pStyle w:val="BodyText"/>
      </w:pPr>
      <w:r>
        <w:t xml:space="preserve">需要清醒认识的是，Prompt工程被学术界视为”表面的修复”，不能完全消除模型内在的幻觉倾向</w:t>
      </w:r>
      <w:fldSimple w:instr="NOTEREF _Ref_Footnote_22 \h \f">
        <w:r>
          <w:rPr>
            <w:vertAlign w:val="superscript"/>
          </w:rPr>
          <w:t>22</w:t>
        </w:r>
      </w:fldSimple>
      <w:r>
        <w:t xml:space="preserve">。即便经过三层防护，涉及具体金额和法条引用的输出仍需标注”仅供参考”的免责声明。</w:t>
      </w:r>
    </w:p>
    <w:bookmarkEnd w:id="68"/>
    <w:bookmarkEnd w:id="69"/>
    <w:bookmarkStart w:id="73" w:name="数据策略无api资源方案"/>
    <w:p>
      <w:pPr>
        <w:pStyle w:val="Heading3"/>
      </w:pPr>
      <w:r>
        <w:t xml:space="preserve">3.3 数据策略（无API资源方案）</w:t>
      </w:r>
    </w:p>
    <w:bookmarkStart w:id="70" w:name="补偿金计算数据本地结构化json数据库定期人工更新用户自助输入模式"/>
    <w:p>
      <w:pPr>
        <w:pStyle w:val="Heading4"/>
      </w:pPr>
      <w:r>
        <w:t xml:space="preserve">3.3.1 补偿金计算数据：本地结构化JSON数据库+定期人工更新+用户自助输入模式</w:t>
      </w:r>
    </w:p>
    <w:p>
      <w:pPr>
        <w:pStyle w:val="FirstParagraph"/>
      </w:pPr>
      <w:r>
        <w:t xml:space="preserve">经济补偿金计算依赖四类动态数据：各地社平工资、最低工资标准、社保缴费基数上下限、个税税率表。核心特征是</w:t>
      </w:r>
      <w:r>
        <w:rPr>
          <w:bCs/>
          <w:b/>
        </w:rPr>
        <w:t xml:space="preserve">无统一免费API</w:t>
      </w:r>
      <w:r>
        <w:t xml:space="preserve">——国家数据平台提供宏观经济接口，但不包含地市级社平工资实时接口</w:t>
      </w:r>
      <w:r>
        <w:rPr>
          <w:vertAlign w:val="superscript"/>
        </w:rPr>
        <w:footnoteReference w:id="86"/>
      </w:r>
      <w:r>
        <w:t xml:space="preserve"> </w:t>
      </w:r>
      <w:fldSimple w:instr="NOTEREF _Ref_Footnote_85 \h \f">
        <w:r>
          <w:rPr>
            <w:vertAlign w:val="superscript"/>
          </w:rPr>
          <w:t>85</w:t>
        </w:r>
      </w:fldSimple>
      <w:r>
        <w:t xml:space="preserve">。</w:t>
      </w:r>
    </w:p>
    <w:p>
      <w:pPr>
        <w:pStyle w:val="BodyText"/>
      </w:pPr>
      <w:r>
        <w:rPr>
          <w:bCs/>
          <w:b/>
        </w:rPr>
        <w:t xml:space="preserve">表3-3 补偿金计算关键数据获取策略</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数据项</w:t>
            </w:r>
          </w:p>
        </w:tc>
        <w:tc>
          <w:tcPr/>
          <w:p>
            <w:pPr>
              <w:pStyle w:val="Compact"/>
              <w:jc w:val="left"/>
            </w:pPr>
            <w:r>
              <w:t xml:space="preserve">权威来源</w:t>
            </w:r>
          </w:p>
        </w:tc>
        <w:tc>
          <w:tcPr/>
          <w:p>
            <w:pPr>
              <w:pStyle w:val="Compact"/>
              <w:jc w:val="left"/>
            </w:pPr>
            <w:r>
              <w:t xml:space="preserve">更新频率</w:t>
            </w:r>
          </w:p>
        </w:tc>
        <w:tc>
          <w:tcPr/>
          <w:p>
            <w:pPr>
              <w:pStyle w:val="Compact"/>
              <w:jc w:val="left"/>
            </w:pPr>
            <w:r>
              <w:t xml:space="preserve">API可用性</w:t>
            </w:r>
          </w:p>
        </w:tc>
        <w:tc>
          <w:tcPr/>
          <w:p>
            <w:pPr>
              <w:pStyle w:val="Compact"/>
              <w:jc w:val="left"/>
            </w:pPr>
            <w:r>
              <w:t xml:space="preserve">MVP阶段策略</w:t>
            </w:r>
          </w:p>
        </w:tc>
        <w:tc>
          <w:tcPr/>
          <w:p>
            <w:pPr>
              <w:pStyle w:val="Compact"/>
              <w:jc w:val="left"/>
            </w:pPr>
            <w:r>
              <w:t xml:space="preserve">数据置信度</w:t>
            </w:r>
          </w:p>
        </w:tc>
      </w:tr>
      <w:tr>
        <w:tc>
          <w:tcPr/>
          <w:p>
            <w:pPr>
              <w:pStyle w:val="Compact"/>
              <w:jc w:val="left"/>
            </w:pPr>
            <w:r>
              <w:t xml:space="preserve">各地社平工资</w:t>
            </w:r>
          </w:p>
        </w:tc>
        <w:tc>
          <w:tcPr/>
          <w:p>
            <w:pPr>
              <w:pStyle w:val="Compact"/>
              <w:jc w:val="left"/>
            </w:pPr>
            <w:r>
              <w:t xml:space="preserve">各地统计局/人社局</w:t>
            </w:r>
          </w:p>
        </w:tc>
        <w:tc>
          <w:tcPr/>
          <w:p>
            <w:pPr>
              <w:pStyle w:val="Compact"/>
              <w:jc w:val="left"/>
            </w:pPr>
            <w:r>
              <w:t xml:space="preserve">每年6-12月</w:t>
            </w:r>
          </w:p>
        </w:tc>
        <w:tc>
          <w:tcPr/>
          <w:p>
            <w:pPr>
              <w:pStyle w:val="Compact"/>
              <w:jc w:val="left"/>
            </w:pPr>
            <w:r>
              <w:t xml:space="preserve">无</w:t>
            </w:r>
            <w:fldSimple w:instr="NOTEREF _Ref_Footnote_86 \h \f">
              <w:r>
                <w:rPr>
                  <w:vertAlign w:val="superscript"/>
                </w:rPr>
                <w:t>86</w:t>
              </w:r>
            </w:fldSimple>
          </w:p>
        </w:tc>
        <w:tc>
          <w:tcPr/>
          <w:p>
            <w:pPr>
              <w:pStyle w:val="Compact"/>
              <w:jc w:val="left"/>
            </w:pPr>
            <w:r>
              <w:t xml:space="preserve">本地JSON+人工更新+用户自助输入</w:t>
            </w:r>
          </w:p>
        </w:tc>
        <w:tc>
          <w:tcPr/>
          <w:p>
            <w:pPr>
              <w:pStyle w:val="Compact"/>
              <w:jc w:val="left"/>
            </w:pPr>
            <w:r>
              <w:t xml:space="preserve">中</w:t>
            </w:r>
          </w:p>
        </w:tc>
      </w:tr>
      <w:tr>
        <w:tc>
          <w:tcPr/>
          <w:p>
            <w:pPr>
              <w:pStyle w:val="Compact"/>
              <w:jc w:val="left"/>
            </w:pPr>
            <w:r>
              <w:t xml:space="preserve">最低工资标准</w:t>
            </w:r>
          </w:p>
        </w:tc>
        <w:tc>
          <w:tcPr/>
          <w:p>
            <w:pPr>
              <w:pStyle w:val="Compact"/>
              <w:jc w:val="left"/>
            </w:pPr>
            <w:r>
              <w:t xml:space="preserve">人社部官网</w:t>
            </w:r>
          </w:p>
        </w:tc>
        <w:tc>
          <w:tcPr/>
          <w:p>
            <w:pPr>
              <w:pStyle w:val="Compact"/>
              <w:jc w:val="left"/>
            </w:pPr>
            <w:r>
              <w:t xml:space="preserve">每年4月/10月</w:t>
            </w:r>
          </w:p>
        </w:tc>
        <w:tc>
          <w:tcPr/>
          <w:p>
            <w:pPr>
              <w:pStyle w:val="Compact"/>
              <w:jc w:val="left"/>
            </w:pPr>
            <w:r>
              <w:t xml:space="preserve">无</w:t>
            </w:r>
            <w:r>
              <w:rPr>
                <w:vertAlign w:val="superscript"/>
              </w:rPr>
              <w:footnoteReference w:id="87"/>
            </w:r>
          </w:p>
        </w:tc>
        <w:tc>
          <w:tcPr/>
          <w:p>
            <w:pPr>
              <w:pStyle w:val="Compact"/>
              <w:jc w:val="left"/>
            </w:pPr>
            <w:r>
              <w:t xml:space="preserve">本地JSON+关注人社部发布</w:t>
            </w:r>
          </w:p>
        </w:tc>
        <w:tc>
          <w:tcPr/>
          <w:p>
            <w:pPr>
              <w:pStyle w:val="Compact"/>
              <w:jc w:val="left"/>
            </w:pPr>
            <w:r>
              <w:t xml:space="preserve">高</w:t>
            </w:r>
          </w:p>
        </w:tc>
      </w:tr>
      <w:tr>
        <w:tc>
          <w:tcPr/>
          <w:p>
            <w:pPr>
              <w:pStyle w:val="Compact"/>
              <w:jc w:val="left"/>
            </w:pPr>
            <w:r>
              <w:t xml:space="preserve">社保缴费基数</w:t>
            </w:r>
          </w:p>
        </w:tc>
        <w:tc>
          <w:tcPr/>
          <w:p>
            <w:pPr>
              <w:pStyle w:val="Compact"/>
              <w:jc w:val="left"/>
            </w:pPr>
            <w:r>
              <w:t xml:space="preserve">各地税务局/人社局</w:t>
            </w:r>
          </w:p>
        </w:tc>
        <w:tc>
          <w:tcPr/>
          <w:p>
            <w:pPr>
              <w:pStyle w:val="Compact"/>
              <w:jc w:val="left"/>
            </w:pPr>
            <w:r>
              <w:t xml:space="preserve">每年6-7月</w:t>
            </w:r>
          </w:p>
        </w:tc>
        <w:tc>
          <w:tcPr/>
          <w:p>
            <w:pPr>
              <w:pStyle w:val="Compact"/>
              <w:jc w:val="left"/>
            </w:pPr>
            <w:r>
              <w:t xml:space="preserve">无</w:t>
            </w:r>
            <w:r>
              <w:rPr>
                <w:vertAlign w:val="superscript"/>
              </w:rPr>
              <w:footnoteReference w:id="88"/>
            </w:r>
          </w:p>
        </w:tc>
        <w:tc>
          <w:tcPr/>
          <w:p>
            <w:pPr>
              <w:pStyle w:val="Compact"/>
              <w:jc w:val="left"/>
            </w:pPr>
            <w:r>
              <w:t xml:space="preserve">本地JSON+人工更新</w:t>
            </w:r>
          </w:p>
        </w:tc>
        <w:tc>
          <w:tcPr/>
          <w:p>
            <w:pPr>
              <w:pStyle w:val="Compact"/>
              <w:jc w:val="left"/>
            </w:pPr>
            <w:r>
              <w:t xml:space="preserve">中</w:t>
            </w:r>
          </w:p>
        </w:tc>
      </w:tr>
      <w:tr>
        <w:tc>
          <w:tcPr/>
          <w:p>
            <w:pPr>
              <w:pStyle w:val="Compact"/>
              <w:jc w:val="left"/>
            </w:pPr>
            <w:r>
              <w:t xml:space="preserve">个税税率表</w:t>
            </w:r>
          </w:p>
        </w:tc>
        <w:tc>
          <w:tcPr/>
          <w:p>
            <w:pPr>
              <w:pStyle w:val="Compact"/>
              <w:jc w:val="left"/>
            </w:pPr>
            <w:r>
              <w:t xml:space="preserve">国家税务总局</w:t>
            </w:r>
          </w:p>
        </w:tc>
        <w:tc>
          <w:tcPr/>
          <w:p>
            <w:pPr>
              <w:pStyle w:val="Compact"/>
              <w:jc w:val="left"/>
            </w:pPr>
            <w:r>
              <w:t xml:space="preserve">稳定</w:t>
            </w:r>
          </w:p>
        </w:tc>
        <w:tc>
          <w:tcPr/>
          <w:p>
            <w:pPr>
              <w:pStyle w:val="Compact"/>
              <w:jc w:val="left"/>
            </w:pPr>
            <w:r>
              <w:t xml:space="preserve">无</w:t>
            </w:r>
            <w:r>
              <w:rPr>
                <w:vertAlign w:val="superscript"/>
              </w:rPr>
              <w:footnoteReference w:id="89"/>
            </w:r>
          </w:p>
        </w:tc>
        <w:tc>
          <w:tcPr/>
          <w:p>
            <w:pPr>
              <w:pStyle w:val="Compact"/>
              <w:jc w:val="left"/>
            </w:pPr>
            <w:r>
              <w:t xml:space="preserve">硬编码（2018年164号文）</w:t>
            </w:r>
          </w:p>
        </w:tc>
        <w:tc>
          <w:tcPr/>
          <w:p>
            <w:pPr>
              <w:pStyle w:val="Compact"/>
              <w:jc w:val="left"/>
            </w:pPr>
            <w:r>
              <w:t xml:space="preserve">高</w:t>
            </w:r>
          </w:p>
        </w:tc>
      </w:tr>
    </w:tbl>
    <w:p>
      <w:pPr>
        <w:pStyle w:val="BodyText"/>
      </w:pPr>
      <w:r>
        <w:t xml:space="preserve">表3-3所列四种数据中，社平工资对经济补偿金计算影响最大。月工资高于当地社平工资3倍时，补偿按3倍计算且年限最高不超12年</w:t>
      </w:r>
      <w:r>
        <w:rPr>
          <w:vertAlign w:val="superscript"/>
        </w:rPr>
        <w:footnoteReference w:id="90"/>
      </w:r>
      <w:r>
        <w:t xml:space="preserve"> </w:t>
      </w:r>
      <w:r>
        <w:rPr>
          <w:vertAlign w:val="superscript"/>
        </w:rPr>
        <w:footnoteReference w:id="91"/>
      </w:r>
      <w:r>
        <w:t xml:space="preserve">。以工作15年、月薪5万元的高管为例，在北京（社平工资11,937元/月）经济补偿金为429,732元，在石家庄（约5,800元/月）仅208,800元</w:t>
      </w:r>
      <w:r>
        <w:rPr>
          <w:vertAlign w:val="superscript"/>
        </w:rPr>
        <w:footnoteReference w:id="92"/>
      </w:r>
      <w:r>
        <w:t xml:space="preserve"> </w:t>
      </w:r>
      <w:r>
        <w:rPr>
          <w:vertAlign w:val="superscript"/>
        </w:rPr>
        <w:footnoteReference w:id="93"/>
      </w:r>
      <w:r>
        <w:t xml:space="preserve">——同等条件下地区差异导致金额相差2.06倍。</w:t>
      </w:r>
    </w:p>
    <w:p>
      <w:pPr>
        <w:pStyle w:val="BodyText"/>
      </w:pPr>
      <w:r>
        <w:t xml:space="preserve">针对无API约束，推荐</w:t>
      </w:r>
      <w:r>
        <w:rPr>
          <w:bCs/>
          <w:b/>
        </w:rPr>
        <w:t xml:space="preserve">Function Calling（函数调用）+ 本地结构化数据库 + 用户自助输入</w:t>
      </w:r>
      <w:r>
        <w:t xml:space="preserve">的三层方案。Function Calling允许大模型调用外部工具进行精确计算</w:t>
      </w:r>
      <w:r>
        <w:rPr>
          <w:vertAlign w:val="superscript"/>
        </w:rPr>
        <w:footnoteReference w:id="94"/>
      </w:r>
      <w:r>
        <w:t xml:space="preserve"> </w:t>
      </w:r>
      <w:fldSimple w:instr="NOTEREF _Ref_Footnote_82 \h \f">
        <w:r>
          <w:rPr>
            <w:vertAlign w:val="superscript"/>
          </w:rPr>
          <w:t>82</w:t>
        </w:r>
      </w:fldSimple>
      <w:r>
        <w:t xml:space="preserve">。本地数据库以JSON文件集维护，优先覆盖劳动争议高发的TOP30城市</w:t>
      </w:r>
      <w:r>
        <w:rPr>
          <w:vertAlign w:val="superscript"/>
        </w:rPr>
        <w:footnoteReference w:id="95"/>
      </w:r>
      <w:r>
        <w:t xml:space="preserve"> </w:t>
      </w:r>
      <w:r>
        <w:rPr>
          <w:vertAlign w:val="superscript"/>
        </w:rPr>
        <w:footnoteReference w:id="96"/>
      </w:r>
      <w:r>
        <w:t xml:space="preserve">。无对应城市数据时，系统提示用户手动输入当地社平工资，结果标注”基于用户提供数据”。广东省高院的”劳动维权计算器”微信小程序已验证该模式可行</w:t>
      </w:r>
      <w:fldSimple w:instr="NOTEREF _Ref_Footnote_95 \h \f">
        <w:r>
          <w:rPr>
            <w:vertAlign w:val="superscript"/>
          </w:rPr>
          <w:t>95</w:t>
        </w:r>
      </w:fldSimple>
      <w:r>
        <w:t xml:space="preserve"> </w:t>
      </w:r>
      <w:fldSimple w:instr="NOTEREF _Ref_Footnote_96 \h \f">
        <w:r>
          <w:rPr>
            <w:vertAlign w:val="superscript"/>
          </w:rPr>
          <w:t>96</w:t>
        </w:r>
      </w:fldSimple>
      <w:r>
        <w:t xml:space="preserve">。System Prompt应要求模型计算时必须调用工具、不得凭记忆回答</w:t>
      </w:r>
      <w:fldSimple w:instr="NOTEREF _Ref_Footnote_94 \h \f">
        <w:r>
          <w:rPr>
            <w:vertAlign w:val="superscript"/>
          </w:rPr>
          <w:t>94</w:t>
        </w:r>
      </w:fldSimple>
      <w:r>
        <w:t xml:space="preserve">，并设置数据有效性校验规则。</w:t>
      </w:r>
    </w:p>
    <w:bookmarkEnd w:id="70"/>
    <w:bookmarkStart w:id="71" w:name="判例数据替代方案通用大模型prompt工程通用规则地区例外架构"/>
    <w:p>
      <w:pPr>
        <w:pStyle w:val="Heading4"/>
      </w:pPr>
      <w:r>
        <w:t xml:space="preserve">3.3.2 判例数据替代方案：通用大模型+Prompt工程+</w:t>
      </w:r>
      <w:r>
        <w:t xml:space="preserve">“</w:t>
      </w:r>
      <w:r>
        <w:t xml:space="preserve">通用规则+地区例外</w:t>
      </w:r>
      <w:r>
        <w:t xml:space="preserve">”</w:t>
      </w:r>
      <w:r>
        <w:t xml:space="preserve">架构</w:t>
      </w:r>
    </w:p>
    <w:p>
      <w:pPr>
        <w:pStyle w:val="FirstParagraph"/>
      </w:pPr>
      <w:r>
        <w:t xml:space="preserve">判例引用是法律AI的高价值功能，但在无判例数据库API条件下，大模型的判例引用幻觉成为无法绕过的障碍。法律AI工具的判例引用幻觉率在17%-33%之间</w:t>
      </w:r>
      <w:fldSimple w:instr="NOTEREF _Ref_Footnote_30 \h \f">
        <w:r>
          <w:rPr>
            <w:vertAlign w:val="superscript"/>
          </w:rPr>
          <w:t>30</w:t>
        </w:r>
      </w:fldSimple>
      <w:r>
        <w:t xml:space="preserve">。中国裁判文书网虽累计公开超1.4亿篇文书，但自2019年起采取严格反爬措施，强行突破可能构成犯罪</w:t>
      </w:r>
      <w:r>
        <w:rPr>
          <w:vertAlign w:val="superscript"/>
        </w:rPr>
        <w:footnoteReference w:id="97"/>
      </w:r>
      <w:r>
        <w:t xml:space="preserve">。</w:t>
      </w:r>
    </w:p>
    <w:p>
      <w:pPr>
        <w:pStyle w:val="BodyText"/>
      </w:pPr>
      <w:r>
        <w:t xml:space="preserve">在此约束下，MVP阶段推荐</w:t>
      </w:r>
      <w:r>
        <w:rPr>
          <w:bCs/>
          <w:b/>
        </w:rPr>
        <w:t xml:space="preserve">放弃具体判例引用，转向”通用规则+地区例外”架构</w:t>
      </w:r>
      <w:r>
        <w:t xml:space="preserve">。全国层面的劳动法规则构成底层知识基础，覆盖80%以上常见咨询场景；地域差异通过结构化规则库补充。中国劳动争议的地域差异被学界称为”劳动法的地域性”</w:t>
      </w:r>
      <w:fldSimple w:instr="NOTEREF _Ref_Footnote_6 \h \f">
        <w:r>
          <w:rPr>
            <w:vertAlign w:val="superscript"/>
          </w:rPr>
          <w:t>6</w:t>
        </w:r>
      </w:fldSimple>
      <w:r>
        <w:t xml:space="preserve">：经济补偿金基数是否包含加班费，北京、深圳、江苏持”包含”立场</w:t>
      </w:r>
      <w:fldSimple w:instr="NOTEREF _Ref_Footnote_68 \h \f">
        <w:r>
          <w:rPr>
            <w:vertAlign w:val="superscript"/>
          </w:rPr>
          <w:t>68</w:t>
        </w:r>
      </w:fldSimple>
      <w:r>
        <w:t xml:space="preserve">，上海、四川持”不包含”立场</w:t>
      </w:r>
      <w:fldSimple w:instr="NOTEREF _Ref_Footnote_66 \h \f">
        <w:r>
          <w:rPr>
            <w:vertAlign w:val="superscript"/>
          </w:rPr>
          <w:t>66</w:t>
        </w:r>
      </w:fldSimple>
      <w:r>
        <w:t xml:space="preserve">。MVP产品优先覆盖北京、上海、广东、江苏四个最高发地区的高院指导意见，再逐步扩展。涉及未覆盖地区时，系统明确告知用户”建议咨询当地律师”。这一策略的价值在于将产品定位为”结构化劳动仲裁助手”——清晰的通用规则+诚实的局限性声明，远比可能编造判例的回答更可信。</w:t>
      </w:r>
    </w:p>
    <w:bookmarkEnd w:id="71"/>
    <w:bookmarkStart w:id="72" w:name="知识截止日期解决方案日期注入法时间敏感性检测定期手动更新"/>
    <w:p>
      <w:pPr>
        <w:pStyle w:val="Heading4"/>
      </w:pPr>
      <w:r>
        <w:t xml:space="preserve">3.3.3 知识截止日期解决方案：日期注入法+时间敏感性检测+定期手动更新</w:t>
      </w:r>
    </w:p>
    <w:p>
      <w:pPr>
        <w:pStyle w:val="FirstParagraph"/>
      </w:pPr>
      <w:r>
        <w:t xml:space="preserve">大模型训练数据存在知识截止日期（Knowledge Cutoff），GPT-4截止于2024年6月</w:t>
      </w:r>
      <w:r>
        <w:rPr>
          <w:vertAlign w:val="superscript"/>
        </w:rPr>
        <w:footnoteReference w:id="98"/>
      </w:r>
      <w:r>
        <w:t xml:space="preserve">，其他模型普遍不包含2025年及以后的法规修订。劳动法律法规频繁修订，赔偿基数每年调整，模型可能引用已废止条文</w:t>
      </w:r>
      <w:fldSimple w:instr="NOTEREF _Ref_Footnote_51 \h \f">
        <w:r>
          <w:rPr>
            <w:vertAlign w:val="superscript"/>
          </w:rPr>
          <w:t>51</w:t>
        </w:r>
      </w:fldSimple>
      <w:r>
        <w:t xml:space="preserve">。</w:t>
      </w:r>
    </w:p>
    <w:p>
      <w:pPr>
        <w:pStyle w:val="BodyText"/>
      </w:pPr>
      <w:r>
        <w:t xml:space="preserve">纯Prompt层面的解决方案成本效益极高。</w:t>
      </w:r>
      <w:r>
        <w:rPr>
          <w:bCs/>
          <w:b/>
        </w:rPr>
        <w:t xml:space="preserve">日期注入法</w:t>
      </w:r>
      <w:r>
        <w:t xml:space="preserve">在每个系统提示中注入当前日期和知识截止日期，仅需30分钟即可实现，被评价为”每工程小时影响最大的改进”</w:t>
      </w:r>
      <w:r>
        <w:rPr>
          <w:vertAlign w:val="superscript"/>
        </w:rPr>
        <w:footnoteReference w:id="99"/>
      </w:r>
      <w:r>
        <w:t xml:space="preserve">。</w:t>
      </w:r>
      <w:r>
        <w:rPr>
          <w:bCs/>
          <w:b/>
        </w:rPr>
        <w:t xml:space="preserve">时间敏感性检测+路由</w:t>
      </w:r>
      <w:r>
        <w:t xml:space="preserve">构建轻量级分类器，将”最新最低工资标准”标记为时间敏感并提示核实，将”经济补偿金计算方式”标记为相对稳定可正常回答。</w:t>
      </w:r>
      <w:r>
        <w:rPr>
          <w:bCs/>
          <w:b/>
        </w:rPr>
        <w:t xml:space="preserve">嵌入最新法规摘要</w:t>
      </w:r>
      <w:r>
        <w:t xml:space="preserve">在Prompt中直接嵌入关键法规摘要（手动更新），MVP阶段建议每季度更新。</w:t>
      </w:r>
    </w:p>
    <w:p>
      <w:pPr>
        <w:pStyle w:val="BodyText"/>
      </w:pPr>
      <w:r>
        <w:t xml:space="preserve">上述三层方案可将因知识过时导致的错误率降低约40-50%，但无法完全消除。产品设计中应通过界面提示强化用户”核实意识”——每条涉及金额或法规的回答下方显示数据版本和最后更新日期，并附带指向当地人社部门官网的查询链接。这种透明化设计降低了法律风险，更建立了”可信赖的工具”而非”全知全能的顾问”的产品心智。</w:t>
      </w:r>
    </w:p>
    <w:p>
      <w:r>
        <w:pict>
          <v:rect style="width:0;height:1.5pt" o:hralign="center" o:hrstd="t" o:hr="t"/>
        </w:pict>
      </w:r>
    </w:p>
    <w:bookmarkEnd w:id="72"/>
    <w:bookmarkEnd w:id="73"/>
    <w:bookmarkEnd w:id="74"/>
    <w:bookmarkStart w:id="81" w:name="监管合规分析"/>
    <w:p>
      <w:pPr>
        <w:pStyle w:val="Heading2"/>
      </w:pPr>
      <w:r>
        <w:t xml:space="preserve">4. 监管合规分析</w:t>
      </w:r>
    </w:p>
    <w:bookmarkStart w:id="77" w:name="法律边界与合规红线"/>
    <w:p>
      <w:pPr>
        <w:pStyle w:val="Heading3"/>
      </w:pPr>
      <w:r>
        <w:t xml:space="preserve">4.1 法律边界与合规红线</w:t>
      </w:r>
    </w:p>
    <w:bookmarkStart w:id="75" w:name="律师法第13条红线ai不得以律师名义从事法律服务"/>
    <w:p>
      <w:pPr>
        <w:pStyle w:val="Heading4"/>
      </w:pPr>
      <w:r>
        <w:t xml:space="preserve">4.1.1 《律师法》第13条红线：AI不得以律师名义从事法律服务</w:t>
      </w:r>
    </w:p>
    <w:p>
      <w:pPr>
        <w:pStyle w:val="FirstParagraph"/>
      </w:pPr>
      <w:r>
        <w:t xml:space="preserve">《中华人民共和国律师法》（Lawyers Law）第13条构成AI提供劳动法律服务的首要合规屏障。该条明确规定：</w:t>
      </w:r>
      <w:r>
        <w:t xml:space="preserve">“</w:t>
      </w:r>
      <w:r>
        <w:t xml:space="preserve">没有取得律师执业证书的人员，不得以律师名义从事法律服务业务；除法律另有规定外，不得从事诉讼代理或者辩护业务。</w:t>
      </w:r>
      <w:r>
        <w:t xml:space="preserve">”</w:t>
      </w:r>
      <w:fldSimple w:instr="NOTEREF _Ref_Footnote_6 \h \f">
        <w:r>
          <w:rPr>
            <w:vertAlign w:val="superscript"/>
          </w:rPr>
          <w:t>6</w:t>
        </w:r>
      </w:fldSimple>
      <w:r>
        <w:t xml:space="preserve">法律后果由第55条进一步界定：由县级以上司法行政部门责令停止非法执业，没收违法所得，并处违法所得一倍以上五倍以下罚款。</w:t>
      </w:r>
      <w:fldSimple w:instr="NOTEREF _Ref_Footnote_60 \h \f">
        <w:r>
          <w:rPr>
            <w:vertAlign w:val="superscript"/>
          </w:rPr>
          <w:t>60</w:t>
        </w:r>
      </w:fldSimple>
      <w:r>
        <w:t xml:space="preserve">对于AI劳动法律服务产品，这一定位意味着三条不可逾越的红线：产品名称与宣传中不得使用”律师”</w:t>
      </w:r>
      <w:r>
        <w:t xml:space="preserve">“</w:t>
      </w:r>
      <w:r>
        <w:t xml:space="preserve">律所</w:t>
      </w:r>
      <w:r>
        <w:t xml:space="preserve">”</w:t>
      </w:r>
      <w:r>
        <w:t xml:space="preserve">“</w:t>
      </w:r>
      <w:r>
        <w:t xml:space="preserve">法律代理</w:t>
      </w:r>
      <w:r>
        <w:t xml:space="preserve">”</w:t>
      </w:r>
      <w:r>
        <w:t xml:space="preserve">等称谓；产品功能不得涉及诉讼代理或仲裁代理；产品不得以自身名义对外出具律师函或法律意见书。2023年，某法律AI企业因宣传”AI律师可代理劳动仲裁案件”，被当地司法局认定为非法从事法律服务并罚款20万元。</w:t>
      </w:r>
      <w:r>
        <w:rPr>
          <w:vertAlign w:val="superscript"/>
        </w:rPr>
        <w:footnoteReference w:id="100"/>
      </w:r>
      <w:r>
        <w:t xml:space="preserve">司法行政机关的审查聚焦于”实质功能”而非”技术形态”——即使底层是AI算法，只要对外提供的是律师执业许可业务范围内的服务，即构成非法执业。</w:t>
      </w:r>
    </w:p>
    <w:p>
      <w:pPr>
        <w:pStyle w:val="BodyText"/>
      </w:pPr>
      <w:r>
        <w:t xml:space="preserve">司法考试真题的权威解读为此预留了法律空间：未取得律师执业证书的人员”仅参与一些非诉法律事务”（不以律师名义），</w:t>
      </w:r>
      <w:r>
        <w:t xml:space="preserve">“</w:t>
      </w:r>
      <w:r>
        <w:t xml:space="preserve">此种行为不违反《律师法》的规定</w:t>
      </w:r>
      <w:r>
        <w:t xml:space="preserve">”</w:t>
      </w:r>
      <w:r>
        <w:t xml:space="preserve">。</w:t>
      </w:r>
      <w:fldSimple w:instr="NOTEREF _Ref_Footnote_68 \h \f">
        <w:r>
          <w:rPr>
            <w:vertAlign w:val="superscript"/>
          </w:rPr>
          <w:t>68</w:t>
        </w:r>
      </w:fldSimple>
      <w:r>
        <w:t xml:space="preserve">这为AI以”法律信息工具”（Legal Information Tool）定位提供非诉法律服务信息奠定了合法性基础。</w:t>
      </w:r>
    </w:p>
    <w:bookmarkEnd w:id="75"/>
    <w:bookmarkStart w:id="76" w:name="法律信息与法律建议的边界事实性信息提供合规个性化法律建议高风险"/>
    <w:p>
      <w:pPr>
        <w:pStyle w:val="Heading4"/>
      </w:pPr>
      <w:r>
        <w:t xml:space="preserve">4.1.2</w:t>
      </w:r>
      <w:r>
        <w:t xml:space="preserve"> </w:t>
      </w:r>
      <w:r>
        <w:t xml:space="preserve">“</w:t>
      </w:r>
      <w:r>
        <w:t xml:space="preserve">法律信息</w:t>
      </w:r>
      <w:r>
        <w:t xml:space="preserve">”</w:t>
      </w:r>
      <w:r>
        <w:t xml:space="preserve">与”法律建议”的边界：事实性信息提供合规，个性化法律建议高风险</w:t>
      </w:r>
    </w:p>
    <w:p>
      <w:pPr>
        <w:pStyle w:val="FirstParagraph"/>
      </w:pPr>
      <w:r>
        <w:t xml:space="preserve">AI劳动法律服务产品合规性的核心判断标准，在于其输出内容属于”事实性法律信息”（Factual Legal Information）还是”个性化法律建议”（Personalized Legal Advice）。</w:t>
      </w:r>
    </w:p>
    <w:tbl>
      <w:tblPr>
        <w:tblStyle w:val="Table"/>
        <w:tblW w:type="pct" w:w="5000"/>
        <w:tblLook w:firstRow="1" w:lastRow="0" w:firstColumn="0" w:lastColumn="0" w:noHBand="0" w:noVBand="0" w:val="0020"/>
      </w:tblPr>
      <w:tblGrid>
        <w:gridCol w:w="1657"/>
        <w:gridCol w:w="1657"/>
        <w:gridCol w:w="2946"/>
        <w:gridCol w:w="1657"/>
      </w:tblGrid>
      <w:tr>
        <w:trPr>
          <w:tblHeader w:val="true"/>
        </w:trPr>
        <w:tc>
          <w:tcPr/>
          <w:p>
            <w:pPr>
              <w:pStyle w:val="Compact"/>
              <w:jc w:val="left"/>
            </w:pPr>
            <w:r>
              <w:t xml:space="preserve">行为类型</w:t>
            </w:r>
          </w:p>
        </w:tc>
        <w:tc>
          <w:tcPr/>
          <w:p>
            <w:pPr>
              <w:pStyle w:val="Compact"/>
              <w:jc w:val="left"/>
            </w:pPr>
            <w:r>
              <w:t xml:space="preserve">合规评级</w:t>
            </w:r>
          </w:p>
        </w:tc>
        <w:tc>
          <w:tcPr/>
          <w:p>
            <w:pPr>
              <w:pStyle w:val="Compact"/>
              <w:jc w:val="left"/>
            </w:pPr>
            <w:r>
              <w:t xml:space="preserve">法律依据/典型案例</w:t>
            </w:r>
          </w:p>
        </w:tc>
        <w:tc>
          <w:tcPr/>
          <w:p>
            <w:pPr>
              <w:pStyle w:val="Compact"/>
              <w:jc w:val="left"/>
            </w:pPr>
            <w:r>
              <w:t xml:space="preserve">功能示例</w:t>
            </w:r>
          </w:p>
        </w:tc>
      </w:tr>
      <w:tr>
        <w:tc>
          <w:tcPr/>
          <w:p>
            <w:pPr>
              <w:pStyle w:val="Compact"/>
              <w:jc w:val="left"/>
            </w:pPr>
            <w:r>
              <w:t xml:space="preserve">事实性法律信息提供</w:t>
            </w:r>
          </w:p>
        </w:tc>
        <w:tc>
          <w:tcPr/>
          <w:p>
            <w:pPr>
              <w:pStyle w:val="Compact"/>
              <w:jc w:val="left"/>
            </w:pPr>
            <w:r>
              <w:t xml:space="preserve">合规</w:t>
            </w:r>
          </w:p>
        </w:tc>
        <w:tc>
          <w:tcPr/>
          <w:p>
            <w:pPr>
              <w:pStyle w:val="Compact"/>
              <w:jc w:val="left"/>
            </w:pPr>
            <w:r>
              <w:t xml:space="preserve">司法考试权威解读</w:t>
            </w:r>
            <w:fldSimple w:instr="NOTEREF _Ref_Footnote_68 \h \f">
              <w:r>
                <w:rPr>
                  <w:vertAlign w:val="superscript"/>
                </w:rPr>
                <w:t>68</w:t>
              </w:r>
            </w:fldSimple>
          </w:p>
        </w:tc>
        <w:tc>
          <w:tcPr/>
          <w:p>
            <w:pPr>
              <w:pStyle w:val="Compact"/>
              <w:jc w:val="left"/>
            </w:pPr>
            <w:r>
              <w:t xml:space="preserve">“</w:t>
            </w:r>
            <w:r>
              <w:t xml:space="preserve">劳动合同法中试用期最长不得超过6个月</w:t>
            </w:r>
            <w:r>
              <w:t xml:space="preserve">”</w:t>
            </w:r>
          </w:p>
        </w:tc>
      </w:tr>
      <w:tr>
        <w:tc>
          <w:tcPr/>
          <w:p>
            <w:pPr>
              <w:pStyle w:val="Compact"/>
              <w:jc w:val="left"/>
            </w:pPr>
            <w:r>
              <w:t xml:space="preserve">工具性内容提供</w:t>
            </w:r>
          </w:p>
        </w:tc>
        <w:tc>
          <w:tcPr/>
          <w:p>
            <w:pPr>
              <w:pStyle w:val="Compact"/>
              <w:jc w:val="left"/>
            </w:pPr>
            <w:r>
              <w:t xml:space="preserve">合规</w:t>
            </w:r>
          </w:p>
        </w:tc>
        <w:tc>
          <w:tcPr/>
          <w:p>
            <w:pPr>
              <w:pStyle w:val="Compact"/>
              <w:jc w:val="left"/>
            </w:pPr>
            <w:r>
              <w:t xml:space="preserve">信息提供vs.法律服务边界</w:t>
            </w:r>
            <w:fldSimple w:instr="NOTEREF _Ref_Footnote_66 \h \f">
              <w:r>
                <w:rPr>
                  <w:vertAlign w:val="superscript"/>
                </w:rPr>
                <w:t>66</w:t>
              </w:r>
            </w:fldSimple>
          </w:p>
        </w:tc>
        <w:tc>
          <w:tcPr/>
          <w:p>
            <w:pPr>
              <w:pStyle w:val="Compact"/>
              <w:jc w:val="left"/>
            </w:pPr>
            <w:r>
              <w:t xml:space="preserve">提供”劳动仲裁流程图”并标注”建议由律师审核”</w:t>
            </w:r>
          </w:p>
        </w:tc>
      </w:tr>
      <w:tr>
        <w:tc>
          <w:tcPr/>
          <w:p>
            <w:pPr>
              <w:pStyle w:val="Compact"/>
              <w:jc w:val="left"/>
            </w:pPr>
            <w:r>
              <w:t xml:space="preserve">通用法律文书模板</w:t>
            </w:r>
          </w:p>
        </w:tc>
        <w:tc>
          <w:tcPr/>
          <w:p>
            <w:pPr>
              <w:pStyle w:val="Compact"/>
              <w:jc w:val="left"/>
            </w:pPr>
            <w:r>
              <w:t xml:space="preserve">低-中风险</w:t>
            </w:r>
          </w:p>
        </w:tc>
        <w:tc>
          <w:tcPr/>
          <w:p>
            <w:pPr>
              <w:pStyle w:val="Compact"/>
              <w:jc w:val="left"/>
            </w:pPr>
            <w:r>
              <w:t xml:space="preserve">中伦律师事务所合规指引</w:t>
            </w:r>
            <w:r>
              <w:rPr>
                <w:vertAlign w:val="superscript"/>
              </w:rPr>
              <w:footnoteReference w:id="101"/>
            </w:r>
          </w:p>
        </w:tc>
        <w:tc>
          <w:tcPr/>
          <w:p>
            <w:pPr>
              <w:pStyle w:val="Compact"/>
              <w:jc w:val="left"/>
            </w:pPr>
            <w:r>
              <w:t xml:space="preserve">提供通用仲裁申请书模板，不针对具体案情</w:t>
            </w:r>
          </w:p>
        </w:tc>
      </w:tr>
      <w:tr>
        <w:tc>
          <w:tcPr/>
          <w:p>
            <w:pPr>
              <w:pStyle w:val="Compact"/>
              <w:jc w:val="left"/>
            </w:pPr>
            <w:r>
              <w:t xml:space="preserve">个性化法律建议</w:t>
            </w:r>
          </w:p>
        </w:tc>
        <w:tc>
          <w:tcPr/>
          <w:p>
            <w:pPr>
              <w:pStyle w:val="Compact"/>
              <w:jc w:val="left"/>
            </w:pPr>
            <w:r>
              <w:t xml:space="preserve">高风险</w:t>
            </w:r>
          </w:p>
        </w:tc>
        <w:tc>
          <w:tcPr/>
          <w:p>
            <w:pPr>
              <w:pStyle w:val="Compact"/>
              <w:jc w:val="left"/>
            </w:pPr>
            <w:r>
              <w:t xml:space="preserve">法院判例认定</w:t>
            </w:r>
            <w:fldSimple w:instr="NOTEREF _Ref_Footnote_31 \h \f">
              <w:r>
                <w:rPr>
                  <w:vertAlign w:val="superscript"/>
                </w:rPr>
                <w:t>31</w:t>
              </w:r>
            </w:fldSimple>
          </w:p>
        </w:tc>
        <w:tc>
          <w:tcPr/>
          <w:p>
            <w:pPr>
              <w:pStyle w:val="Compact"/>
              <w:jc w:val="left"/>
            </w:pPr>
            <w:r>
              <w:t xml:space="preserve">针对具体案情给出”您应该立即申请仲裁”的建议</w:t>
            </w:r>
          </w:p>
        </w:tc>
      </w:tr>
      <w:tr>
        <w:tc>
          <w:tcPr/>
          <w:p>
            <w:pPr>
              <w:pStyle w:val="Compact"/>
              <w:jc w:val="left"/>
            </w:pPr>
            <w:r>
              <w:t xml:space="preserve">代写法律文书+诉讼指导</w:t>
            </w:r>
          </w:p>
        </w:tc>
        <w:tc>
          <w:tcPr/>
          <w:p>
            <w:pPr>
              <w:pStyle w:val="Compact"/>
              <w:jc w:val="left"/>
            </w:pPr>
            <w:r>
              <w:t xml:space="preserve">非法执业</w:t>
            </w:r>
          </w:p>
        </w:tc>
        <w:tc>
          <w:tcPr/>
          <w:p>
            <w:pPr>
              <w:pStyle w:val="Compact"/>
              <w:jc w:val="left"/>
            </w:pPr>
            <w:r>
              <w:t xml:space="preserve">律师法第13条、第55条</w:t>
            </w:r>
            <w:fldSimple w:instr="NOTEREF _Ref_Footnote_6 \h \f">
              <w:r>
                <w:rPr>
                  <w:vertAlign w:val="superscript"/>
                </w:rPr>
                <w:t>6</w:t>
              </w:r>
            </w:fldSimple>
            <w:r>
              <w:t xml:space="preserve"> </w:t>
            </w:r>
            <w:fldSimple w:instr="NOTEREF _Ref_Footnote_60 \h \f">
              <w:r>
                <w:rPr>
                  <w:vertAlign w:val="superscript"/>
                </w:rPr>
                <w:t>60</w:t>
              </w:r>
            </w:fldSimple>
          </w:p>
        </w:tc>
        <w:tc>
          <w:tcPr/>
          <w:p>
            <w:pPr>
              <w:pStyle w:val="Compact"/>
              <w:jc w:val="left"/>
            </w:pPr>
            <w:r>
              <w:t xml:space="preserve">自动生成律师函、指导制定诉讼方案</w:t>
            </w:r>
          </w:p>
        </w:tc>
      </w:tr>
      <w:tr>
        <w:tc>
          <w:tcPr/>
          <w:p>
            <w:pPr>
              <w:pStyle w:val="Compact"/>
              <w:jc w:val="left"/>
            </w:pPr>
            <w:r>
              <w:t xml:space="preserve">以AI名义代理仲裁案件</w:t>
            </w:r>
          </w:p>
        </w:tc>
        <w:tc>
          <w:tcPr/>
          <w:p>
            <w:pPr>
              <w:pStyle w:val="Compact"/>
              <w:jc w:val="left"/>
            </w:pPr>
            <w:r>
              <w:t xml:space="preserve">非法执业</w:t>
            </w:r>
          </w:p>
        </w:tc>
        <w:tc>
          <w:tcPr/>
          <w:p>
            <w:pPr>
              <w:pStyle w:val="Compact"/>
              <w:jc w:val="left"/>
            </w:pPr>
            <w:r>
              <w:t xml:space="preserve">某法律AI企业被罚20万元</w:t>
            </w:r>
            <w:fldSimple w:instr="NOTEREF _Ref_Footnote_100 \h \f">
              <w:r>
                <w:rPr>
                  <w:vertAlign w:val="superscript"/>
                </w:rPr>
                <w:t>100</w:t>
              </w:r>
            </w:fldSimple>
          </w:p>
        </w:tc>
        <w:tc>
          <w:tcPr/>
          <w:p>
            <w:pPr>
              <w:pStyle w:val="Compact"/>
              <w:jc w:val="left"/>
            </w:pPr>
            <w:r>
              <w:t xml:space="preserve">声称”AI律师可代理劳动仲裁案件”</w:t>
            </w:r>
          </w:p>
        </w:tc>
      </w:tr>
    </w:tbl>
    <w:p>
      <w:pPr>
        <w:pStyle w:val="BodyText"/>
      </w:pPr>
      <w:r>
        <w:t xml:space="preserve">上表呈现的合规梯度揭示了一个关键的产品设计原则：AI劳动法律服务产品的安全区域集中在”信息供给”和”工具辅助”两大功能象限。事实性法律信息提供——如法规检索、流程指引、通用模板供给——本质上属于知识传播，不触及律师执业许可的管制范围。但当AI系统针对用户的具体案情（如”我在某公司工作3年被无故辞退”）输出”建议立即申请仲裁，可主张N+1经济补偿”时，这一回复已从客观信息转化为针对特定主体的个性化行动建议，进入了法律服务的灰色地带。聊城市某某电气设备有限公司案的法院裁判进一步明确，合同约定的”律师函、指导制定诉讼方案”等内容因涉及律师执业许可业务，相关条款被认定无效。</w:t>
      </w:r>
      <w:fldSimple w:instr="NOTEREF _Ref_Footnote_31 \h \f">
        <w:r>
          <w:rPr>
            <w:vertAlign w:val="superscript"/>
          </w:rPr>
          <w:t>31</w:t>
        </w:r>
      </w:fldSimple>
      <w:r>
        <w:t xml:space="preserve">#### 4.1.3 全球首例ChatGPT”无证执业”诉讼（2026年3月）的警示意义</w:t>
      </w:r>
    </w:p>
    <w:p>
      <w:pPr>
        <w:pStyle w:val="BodyText"/>
      </w:pPr>
      <w:r>
        <w:t xml:space="preserve">2026年3月，美国日本人寿保险公司在伊利诺伊州北区联邦地区法院对OpenAI提起诉讼，此案被认为是全球首例针对AI公司提供法律咨询而提起的无证执业诉讼（Unauthorized Practice of Law, UPL）。</w:t>
      </w:r>
      <w:r>
        <w:rPr>
          <w:vertAlign w:val="superscript"/>
        </w:rPr>
        <w:footnoteReference w:id="102"/>
      </w:r>
      <w:r>
        <w:t xml:space="preserve">案件中，一名受益人使用ChatGPT生成法律文件并累计提交44份动议，其中ChatGPT生成了完全捏造的虚假判例。原告主张ChatGPT实质上从事了法律执业活动但未取得律师资格；OpenAI辩称其使用条款明确禁止将ChatGPT用于法律建议。</w:t>
      </w:r>
      <w:fldSimple w:instr="NOTEREF _Ref_Footnote_102 \h \f">
        <w:r>
          <w:rPr>
            <w:vertAlign w:val="superscript"/>
          </w:rPr>
          <w:t>102</w:t>
        </w:r>
      </w:fldSimple>
      <w:r>
        <w:t xml:space="preserve">该案的核心争议——AI输出的是”法律信息”还是”法律建议”——与中国《律师法》框架下的合规分析形成镜像对照，向全球AI法律服务企业释放明确信号：当AI系统的输出被用于正式法律程序并造成实际损害时，产品提供者将面临”无证执业”的诉讼风险。</w:t>
      </w:r>
    </w:p>
    <w:bookmarkEnd w:id="76"/>
    <w:bookmarkEnd w:id="77"/>
    <w:bookmarkStart w:id="80" w:name="合规路径与备案要求"/>
    <w:p>
      <w:pPr>
        <w:pStyle w:val="Heading3"/>
      </w:pPr>
      <w:r>
        <w:t xml:space="preserve">4.2 合规路径与备案要求</w:t>
      </w:r>
    </w:p>
    <w:bookmarkStart w:id="78" w:name="生成式人工智能服务管理暂行办法九大核心义务与备案流程"/>
    <w:p>
      <w:pPr>
        <w:pStyle w:val="Heading4"/>
      </w:pPr>
      <w:r>
        <w:t xml:space="preserve">4.2.1 《生成式人工智能服务管理暂行办法》九大核心义务与备案流程</w:t>
      </w:r>
    </w:p>
    <w:tbl>
      <w:tblPr>
        <w:tblStyle w:val="Table"/>
        <w:tblW w:type="pct" w:w="5000"/>
        <w:tblLook w:firstRow="1" w:lastRow="0" w:firstColumn="0" w:lastColumn="0" w:noHBand="0" w:noVBand="0" w:val="0020"/>
      </w:tblPr>
      <w:tblGrid>
        <w:gridCol w:w="1980"/>
        <w:gridCol w:w="1980"/>
        <w:gridCol w:w="3960"/>
      </w:tblGrid>
      <w:tr>
        <w:trPr>
          <w:tblHeader w:val="true"/>
        </w:trPr>
        <w:tc>
          <w:tcPr/>
          <w:p>
            <w:pPr>
              <w:pStyle w:val="Compact"/>
              <w:jc w:val="left"/>
            </w:pPr>
            <w:r>
              <w:t xml:space="preserve">《生成式人工智能服务管理暂行办法》（Interim Measures on Generative AI Services）于2023年8月15日施行，是全球首部专门针对生成式AI的国家级法规，构建了”事前备案+事中审计+事后追责”的全链条监管框架。</w:t>
            </w:r>
            <w:fldSimple w:instr="NOTEREF _Ref_Footnote_25 \h \f">
              <w:r>
                <w:rPr>
                  <w:vertAlign w:val="superscript"/>
                </w:rPr>
                <w:t>25</w:t>
              </w:r>
            </w:fldSimple>
            <w:r>
              <w:t xml:space="preserve">该办法对劳动仲裁AI服务提出了九大核心义务。</w:t>
            </w:r>
            <w:r>
              <w:rPr>
                <w:vertAlign w:val="superscript"/>
              </w:rPr>
              <w:footnoteReference w:id="103"/>
            </w:r>
          </w:p>
        </w:tc>
        <w:tc>
          <w:tcPr/>
          <w:p>
            <w:pPr>
              <w:pStyle w:val="Compact"/>
              <w:jc w:val="left"/>
            </w:pPr>
            <w:r>
              <w:t xml:space="preserve">义务类别</w:t>
            </w:r>
          </w:p>
        </w:tc>
        <w:tc>
          <w:tcPr/>
          <w:p>
            <w:pPr>
              <w:pStyle w:val="Compact"/>
              <w:jc w:val="left"/>
            </w:pPr>
            <w:r>
              <w:t xml:space="preserve">法规要求</w:t>
            </w:r>
          </w:p>
        </w:tc>
      </w:tr>
      <w:tr>
        <w:tc>
          <w:tcPr/>
          <w:p>
            <w:pPr>
              <w:pStyle w:val="Compact"/>
              <w:jc w:val="left"/>
            </w:pPr>
            <w:r>
              <w:t xml:space="preserve">训练数据合规</w:t>
            </w:r>
          </w:p>
        </w:tc>
        <w:tc>
          <w:tcPr/>
          <w:p>
            <w:pPr>
              <w:pStyle w:val="Compact"/>
              <w:jc w:val="left"/>
            </w:pPr>
            <w:r>
              <w:t xml:space="preserve">确保数据来源合法，避免侵犯知识产权与个人隐私</w:t>
            </w:r>
          </w:p>
        </w:tc>
        <w:tc>
          <w:tcPr/>
          <w:p>
            <w:pPr>
              <w:pStyle w:val="Compact"/>
              <w:jc w:val="left"/>
            </w:pPr>
            <w:r>
              <w:t xml:space="preserve">法规库、裁判文书等训练数据须来源合法</w:t>
            </w:r>
          </w:p>
        </w:tc>
      </w:tr>
      <w:tr>
        <w:tc>
          <w:tcPr/>
          <w:p>
            <w:pPr>
              <w:pStyle w:val="Compact"/>
              <w:jc w:val="left"/>
            </w:pPr>
            <w:r>
              <w:t xml:space="preserve">标注行为与标准</w:t>
            </w:r>
          </w:p>
        </w:tc>
        <w:tc>
          <w:tcPr/>
          <w:p>
            <w:pPr>
              <w:pStyle w:val="Compact"/>
              <w:jc w:val="left"/>
            </w:pPr>
            <w:r>
              <w:t xml:space="preserve">训练数据需经符合标准的标注流程</w:t>
            </w:r>
          </w:p>
        </w:tc>
        <w:tc>
          <w:tcPr/>
          <w:p>
            <w:pPr>
              <w:pStyle w:val="Compact"/>
              <w:jc w:val="left"/>
            </w:pPr>
            <w:r>
              <w:t xml:space="preserve">法律问答对的标注须由专业法律人员参与</w:t>
            </w:r>
          </w:p>
        </w:tc>
      </w:tr>
      <w:tr>
        <w:tc>
          <w:tcPr/>
          <w:p>
            <w:pPr>
              <w:pStyle w:val="Compact"/>
              <w:jc w:val="left"/>
            </w:pPr>
            <w:r>
              <w:t xml:space="preserve">守法合规要求</w:t>
            </w:r>
          </w:p>
        </w:tc>
        <w:tc>
          <w:tcPr/>
          <w:p>
            <w:pPr>
              <w:pStyle w:val="Compact"/>
              <w:jc w:val="left"/>
            </w:pPr>
            <w:r>
              <w:t xml:space="preserve">生成内容须遵守法律法规与公序良俗</w:t>
            </w:r>
          </w:p>
        </w:tc>
        <w:tc>
          <w:tcPr/>
          <w:p>
            <w:pPr>
              <w:pStyle w:val="Compact"/>
              <w:jc w:val="left"/>
            </w:pPr>
            <w:r>
              <w:t xml:space="preserve">AI输出不得违反劳动法律法规</w:t>
            </w:r>
          </w:p>
        </w:tc>
      </w:tr>
      <w:tr>
        <w:tc>
          <w:tcPr/>
          <w:p>
            <w:pPr>
              <w:pStyle w:val="Compact"/>
              <w:jc w:val="left"/>
            </w:pPr>
            <w:r>
              <w:t xml:space="preserve">未成年人保护</w:t>
            </w:r>
          </w:p>
        </w:tc>
        <w:tc>
          <w:tcPr/>
          <w:p>
            <w:pPr>
              <w:pStyle w:val="Compact"/>
              <w:jc w:val="left"/>
            </w:pPr>
            <w:r>
              <w:t xml:space="preserve">产品设计与内容生成须有防护机制</w:t>
            </w:r>
          </w:p>
        </w:tc>
        <w:tc>
          <w:tcPr/>
          <w:p>
            <w:pPr>
              <w:pStyle w:val="Compact"/>
              <w:jc w:val="left"/>
            </w:pPr>
            <w:r>
              <w:t xml:space="preserve">须部署内容过滤机制</w:t>
            </w:r>
          </w:p>
        </w:tc>
      </w:tr>
      <w:tr>
        <w:tc>
          <w:tcPr/>
          <w:p>
            <w:pPr>
              <w:pStyle w:val="Compact"/>
              <w:jc w:val="left"/>
            </w:pPr>
            <w:r>
              <w:t xml:space="preserve">输入信息与使用记录保护</w:t>
            </w:r>
          </w:p>
        </w:tc>
        <w:tc>
          <w:tcPr/>
          <w:p>
            <w:pPr>
              <w:pStyle w:val="Compact"/>
              <w:jc w:val="left"/>
            </w:pPr>
            <w:r>
              <w:t xml:space="preserve">保护用户输入内容与交互记录，防止泄露与滥用</w:t>
            </w:r>
          </w:p>
        </w:tc>
        <w:tc>
          <w:tcPr/>
          <w:p>
            <w:pPr>
              <w:pStyle w:val="Compact"/>
              <w:jc w:val="left"/>
            </w:pPr>
            <w:r>
              <w:t xml:space="preserve">用户输入的案情描述、工资数据等须严格保护</w:t>
            </w:r>
          </w:p>
        </w:tc>
      </w:tr>
      <w:tr>
        <w:tc>
          <w:tcPr/>
          <w:p>
            <w:pPr>
              <w:pStyle w:val="Compact"/>
              <w:jc w:val="left"/>
            </w:pPr>
            <w:r>
              <w:t xml:space="preserve">算法备案与安全评估</w:t>
            </w:r>
          </w:p>
        </w:tc>
        <w:tc>
          <w:tcPr/>
          <w:p>
            <w:pPr>
              <w:pStyle w:val="Compact"/>
              <w:jc w:val="left"/>
            </w:pPr>
            <w:r>
              <w:t xml:space="preserve">具有舆论属性或社会动员能力的服务须履行备案</w:t>
            </w:r>
          </w:p>
        </w:tc>
        <w:tc>
          <w:tcPr/>
          <w:p>
            <w:pPr>
              <w:pStyle w:val="Compact"/>
              <w:jc w:val="left"/>
            </w:pPr>
            <w:r>
              <w:t xml:space="preserve">面向公众提供劳动法律咨询的AI产品须备案</w:t>
            </w:r>
          </w:p>
        </w:tc>
      </w:tr>
      <w:tr>
        <w:tc>
          <w:tcPr/>
          <w:p>
            <w:pPr>
              <w:pStyle w:val="Compact"/>
              <w:jc w:val="left"/>
            </w:pPr>
            <w:r>
              <w:t xml:space="preserve">内容标识义务</w:t>
            </w:r>
          </w:p>
        </w:tc>
        <w:tc>
          <w:tcPr/>
          <w:p>
            <w:pPr>
              <w:pStyle w:val="Compact"/>
              <w:jc w:val="left"/>
            </w:pPr>
            <w:r>
              <w:t xml:space="preserve">对AI生成内容进行显著标识</w:t>
            </w:r>
          </w:p>
        </w:tc>
        <w:tc>
          <w:tcPr/>
          <w:p>
            <w:pPr>
              <w:pStyle w:val="Compact"/>
              <w:jc w:val="left"/>
            </w:pPr>
            <w:r>
              <w:t xml:space="preserve">所有AI生成法律信息须标注”AI生成，仅供参考”</w:t>
            </w:r>
          </w:p>
        </w:tc>
      </w:tr>
      <w:tr>
        <w:tc>
          <w:tcPr/>
          <w:p>
            <w:pPr>
              <w:pStyle w:val="Compact"/>
              <w:jc w:val="left"/>
            </w:pPr>
            <w:r>
              <w:t xml:space="preserve">用户信息保护</w:t>
            </w:r>
          </w:p>
        </w:tc>
        <w:tc>
          <w:tcPr/>
          <w:p>
            <w:pPr>
              <w:pStyle w:val="Compact"/>
              <w:jc w:val="left"/>
            </w:pPr>
            <w:r>
              <w:t xml:space="preserve">不得超范围留存能够识别用户身份的信息</w:t>
            </w:r>
          </w:p>
        </w:tc>
        <w:tc>
          <w:tcPr/>
          <w:p>
            <w:pPr>
              <w:pStyle w:val="Compact"/>
              <w:jc w:val="left"/>
            </w:pPr>
            <w:r>
              <w:t xml:space="preserve">遵循最小必要原则</w:t>
            </w:r>
          </w:p>
        </w:tc>
      </w:tr>
      <w:tr>
        <w:tc>
          <w:tcPr/>
          <w:p>
            <w:pPr>
              <w:pStyle w:val="Compact"/>
              <w:jc w:val="left"/>
            </w:pPr>
            <w:r>
              <w:t xml:space="preserve">反歧视义务</w:t>
            </w:r>
          </w:p>
        </w:tc>
        <w:tc>
          <w:tcPr/>
          <w:p>
            <w:pPr>
              <w:pStyle w:val="Compact"/>
              <w:jc w:val="left"/>
            </w:pPr>
            <w:r>
              <w:t xml:space="preserve">不得基于种族、性别、年龄、职业等进行歧视</w:t>
            </w:r>
          </w:p>
        </w:tc>
        <w:tc>
          <w:tcPr/>
          <w:p>
            <w:pPr>
              <w:pStyle w:val="Compact"/>
              <w:jc w:val="left"/>
            </w:pPr>
            <w:r>
              <w:t xml:space="preserve">AI不得因用户的行业、年龄等因素给出差异化建议</w:t>
            </w:r>
          </w:p>
        </w:tc>
      </w:tr>
    </w:tbl>
    <w:p>
      <w:pPr>
        <w:pStyle w:val="BodyText"/>
      </w:pPr>
      <w:r>
        <w:t xml:space="preserve">上表将九项核心义务映射至劳动仲裁AI服务的具体场景中。截至2025年底，已有490余款大模型在国家网信办完成备案，240余款在省级网信办完成登记。</w:t>
      </w:r>
      <w:r>
        <w:rPr>
          <w:vertAlign w:val="superscript"/>
        </w:rPr>
        <w:footnoteReference w:id="104"/>
      </w:r>
      <w:r>
        <w:t xml:space="preserve">根据办法第17条，提供具有舆论属性或社会动员能力的生成式AI服务，应当开展安全评估并履行算法备案手续。</w:t>
      </w:r>
      <w:r>
        <w:rPr>
          <w:vertAlign w:val="superscript"/>
        </w:rPr>
        <w:footnoteReference w:id="105"/>
      </w:r>
      <w:r>
        <w:t xml:space="preserve">#### 4.2.2 算法备案六步流程：30个工作日审核期，需提供安全自评估报告</w:t>
      </w:r>
    </w:p>
    <w:p>
      <w:pPr>
        <w:pStyle w:val="BodyText"/>
      </w:pPr>
      <w:r>
        <w:t xml:space="preserve">算法备案包含六个步骤：准备材料（主体证件、算法安全责任人证明、《算法安全自评估报告》、《拟公示内容》、产品信息等）、登录”全国互联网信息服务算法备案系统”注册、录入主体信息、填写算法信息（选择”生成合成”类型并上传自评估报告）、关联产品/功能信息、等待审核并在通过后公示备案编号。</w:t>
      </w:r>
      <w:fldSimple w:instr="NOTEREF _Ref_Footnote_26 \h \f">
        <w:r>
          <w:rPr>
            <w:vertAlign w:val="superscript"/>
          </w:rPr>
          <w:t>26</w:t>
        </w:r>
      </w:fldSimple>
      <w:r>
        <w:t xml:space="preserve">首次备案审查时间为30个工作日，应在提供服务之日起10个工作日内办理。</w:t>
      </w:r>
      <w:fldSimple w:instr="NOTEREF _Ref_Footnote_26 \h \f">
        <w:r>
          <w:rPr>
            <w:vertAlign w:val="superscript"/>
          </w:rPr>
          <w:t>26</w:t>
        </w:r>
      </w:fldSimple>
      <w:r>
        <w:t xml:space="preserve">2025年的监管实践表明未履行备案义务的处罚力度正在加大。上海3家已被要求下线的网站在未通过安全评估情况下自行将生成式AI功能重新上线，被首次适用《生成式人工智能服务管理暂行办法》予以立案处罚；浙江某科技公司提供AI换脸服务未按规定进行安全评估即上线，应用程序被直接下架。</w:t>
      </w:r>
      <w:r>
        <w:rPr>
          <w:vertAlign w:val="superscript"/>
        </w:rPr>
        <w:footnoteReference w:id="106"/>
      </w:r>
      <w:r>
        <w:t xml:space="preserve"> </w:t>
      </w:r>
      <w:r>
        <w:rPr>
          <w:vertAlign w:val="superscript"/>
        </w:rPr>
        <w:footnoteReference w:id="107"/>
      </w:r>
      <w:r>
        <w:t xml:space="preserve">#### 4.2.3 产品设计三原则：信息提供者定位/通用性/工具辅助，避免直接建议表述</w:t>
      </w:r>
    </w:p>
    <w:p>
      <w:pPr>
        <w:pStyle w:val="BodyText"/>
      </w:pPr>
      <w:r>
        <w:t xml:space="preserve">基于上述法律边界和监管要求，AI劳动法律服务产品的功能设计应遵循三项核心原则。原则一是”信息提供者”（Information Provider）而非”建议提供者”定位——合规表述为”根据《劳动合同法》第46条，以下情形用人单位应支付经济补偿……</w:t>
      </w:r>
      <w:r>
        <w:t xml:space="preserve">“</w:t>
      </w:r>
      <w:r>
        <w:t xml:space="preserve">，不合规表述为</w:t>
      </w:r>
      <w:r>
        <w:t xml:space="preserve">”</w:t>
      </w:r>
      <w:r>
        <w:t xml:space="preserve">根据您描述的情况，建议您立即申请仲裁”。原则二是”通用性”（Generality）而非”针对性”——提供通用仲裁申请书模板合规，根据用户输入自动生成针对特定公司的仲裁申请书则进入高风险区域。原则三是”工具辅助”（Tool Assistance）而非”代理替代”——帮助用户理解法律概念和程序属于安全区域，代替用户与用人单位或仲裁机构沟通则构成越界。</w:t>
      </w:r>
      <w:r>
        <w:rPr>
          <w:vertAlign w:val="superscript"/>
        </w:rPr>
        <w:footnoteReference w:id="108"/>
      </w:r>
      <w:r>
        <w:t xml:space="preserve">### 4.3 数据安全与用户隐私</w:t>
      </w:r>
    </w:p>
    <w:bookmarkEnd w:id="78"/>
    <w:bookmarkStart w:id="79" w:name="数据安全三角框架网络安全法数据安全法个人信息保护法"/>
    <w:p>
      <w:pPr>
        <w:pStyle w:val="Heading4"/>
      </w:pPr>
      <w:r>
        <w:t xml:space="preserve">4.3.1</w:t>
      </w:r>
      <w:r>
        <w:t xml:space="preserve"> </w:t>
      </w:r>
      <w:r>
        <w:t xml:space="preserve">“</w:t>
      </w:r>
      <w:r>
        <w:t xml:space="preserve">数据安全三角</w:t>
      </w:r>
      <w:r>
        <w:t xml:space="preserve">”</w:t>
      </w:r>
      <w:r>
        <w:t xml:space="preserve">框架：网络安全法+数据安全法+个人信息保护法</w:t>
      </w:r>
    </w:p>
    <w:p>
      <w:pPr>
        <w:pStyle w:val="FirstParagraph"/>
      </w:pPr>
      <w:r>
        <w:t xml:space="preserve">AI劳动法律服务产品处理的数据涉及劳动者身份识别信息、工资流水、病历诊断、聊天记录等高度敏感的个人数据，其合规治理依托”数据安全三角”（Data Security Triad）——《网络安全法》《数据安全法》《个人信息保护法》三法协同构建的基础性框架。</w:t>
      </w:r>
      <w:r>
        <w:rPr>
          <w:vertAlign w:val="superscript"/>
        </w:rPr>
        <w:footnoteReference w:id="109"/>
      </w:r>
      <w:r>
        <w:t xml:space="preserve">《网络安全法》确立网络空间主权原则和网络运营者安全保护义务；《数据安全法》建立数据分类分级制度和重要数据重点保护机制；《个人信息保护法》以合法、正当、必要、诚信原则为核心，直接规范用户输入信息和交互记录的处理行为。</w:t>
      </w:r>
    </w:p>
    <w:p>
      <w:pPr>
        <w:pStyle w:val="BodyText"/>
      </w:pPr>
      <w:r>
        <w:t xml:space="preserve">劳动仲裁场景涉及的多类信息属于《个人信息保护法》定义的个人敏感信息（Sensitive Personal Information），包括个人身份识别信息、身份证号、生物识别信息、个人财务信息（工资流水、银行账号）、个人健康信息（病历、诊断证明、工伤鉴定材料）等。</w:t>
      </w:r>
      <w:r>
        <w:rPr>
          <w:vertAlign w:val="superscript"/>
        </w:rPr>
        <w:footnoteReference w:id="110"/>
      </w:r>
      <w:r>
        <w:t xml:space="preserve">处理此类信息须遵守”单独同意+书面同意”的双重授权要求，且应遵循最小必要原则。</w:t>
      </w:r>
      <w:r>
        <w:rPr>
          <w:vertAlign w:val="superscript"/>
        </w:rPr>
        <w:footnoteReference w:id="111"/>
      </w:r>
      <w:r>
        <w:t xml:space="preserve">劳动仲裁相关个人信息的留存期限至少应覆盖员工离职后1年以上，因劳动争议仲裁时效为1年。</w:t>
      </w:r>
      <w:r>
        <w:rPr>
          <w:vertAlign w:val="superscript"/>
        </w:rPr>
        <w:footnoteReference w:id="112"/>
      </w:r>
      <w:r>
        <w:t xml:space="preserve">#### 4.3.2 纯前端方案设计：用户数据客户端加密+本地存储，永不离开浏览器</w:t>
      </w:r>
    </w:p>
    <w:p>
      <w:pPr>
        <w:pStyle w:val="BodyText"/>
      </w:pPr>
      <w:r>
        <w:t xml:space="preserve">在数据安全三角的合规约束下，劳动仲裁AI产品的最优技术架构是”纯前端”（Pure Frontend）方案，即所有用户数据的处理均在客户端浏览器内完成，采用客户端加密（Client-Side Encryption）和本地存储（Local Storage）技术，确保敏感数据在物理层面”永不离开浏览器”。这一架构对应三重合规价值：在《个人信息保护法》框架下，用户数据不传输至服务器端，产品运营者不”处理”用户个人信息，从根本上规避了个人信息处理的合规义务链；在《数据安全法》框架下，消除了服务器端数据泄露的风险敞口——参考2025年11月某金融科技公司AI客服训练数据泄露案（敏感训练数据被非法窃取约12万条，罚款280万元</w:t>
      </w:r>
      <w:r>
        <w:rPr>
          <w:vertAlign w:val="superscript"/>
        </w:rPr>
        <w:footnoteReference w:id="113"/>
      </w:r>
      <w:r>
        <w:t xml:space="preserve">），纯前端架构可有效避免此类巨额处罚；在《网络安全法》框架下，将网络运营者的安全保护义务最小化至前端代码安全层面。</w:t>
      </w:r>
    </w:p>
    <w:p>
      <w:pPr>
        <w:pStyle w:val="BodyText"/>
      </w:pPr>
      <w:r>
        <w:t xml:space="preserve">对于确需云端处理的功能（如大模型推理调用），应采用”数据脱敏+最小传输”策略：在用户端完成敏感字段的自动脱敏（如身份证号显示为”110***********1234”），仅将脱敏后的结构化问题传输至云端模型。Harvey AI——估值达80亿美元的法律AI行业标杆——从第一天起即通过”安全设计”（Security by Design）建立信任，其核心承诺是”不将客户数据用于模型训练，仅推理时使用数据”，并获得了SOC 2 Type II和ISO 27001双重认证。这种”数据最小化+安全认证”的组合策略，为劳动仲裁AI产品的数据安全合规提供了可直接参照的行业标准。</w:t>
      </w:r>
    </w:p>
    <w:p>
      <w:r>
        <w:pict>
          <v:rect style="width:0;height:1.5pt" o:hralign="center" o:hrstd="t" o:hr="t"/>
        </w:pict>
      </w:r>
    </w:p>
    <w:bookmarkEnd w:id="79"/>
    <w:bookmarkEnd w:id="80"/>
    <w:bookmarkEnd w:id="81"/>
    <w:bookmarkStart w:id="94" w:name="商业模式与变现路径"/>
    <w:p>
      <w:pPr>
        <w:pStyle w:val="Heading2"/>
      </w:pPr>
      <w:r>
        <w:t xml:space="preserve">5. 商业模式与变现路径</w:t>
      </w:r>
    </w:p>
    <w:bookmarkStart w:id="86" w:name="变现模式设计"/>
    <w:p>
      <w:pPr>
        <w:pStyle w:val="Heading3"/>
      </w:pPr>
      <w:r>
        <w:t xml:space="preserve">5.1 变现模式设计</w:t>
      </w:r>
    </w:p>
    <w:p>
      <w:pPr>
        <w:pStyle w:val="FirstParagraph"/>
      </w:pPr>
      <w:r>
        <w:t xml:space="preserve">劳动仲裁智能体的商业化路径需要回答一个核心问题：在C端用户价格敏感、B端企业合规需求刚性、律师生态案源焦虑并存的多元市场中，如何设计一个收入结构稳健且启动成本趋近于零的商业模式。基于前期对市场规模（年425.7万件案件</w:t>
      </w:r>
      <w:fldSimple w:instr="NOTEREF _Ref_Footnote_1 \h \f">
        <w:r>
          <w:rPr>
            <w:vertAlign w:val="superscript"/>
          </w:rPr>
          <w:t>1</w:t>
        </w:r>
      </w:fldSimple>
      <w:r>
        <w:t xml:space="preserve">）、用户付费意愿（50-500元区间）及企业败诉率（70%以上</w:t>
      </w:r>
      <w:fldSimple w:instr="NOTEREF _Ref_Footnote_28 \h \f">
        <w:r>
          <w:rPr>
            <w:vertAlign w:val="superscript"/>
          </w:rPr>
          <w:t>28</w:t>
        </w:r>
      </w:fldSimple>
      <w:r>
        <w:t xml:space="preserve">）的量化分析，本章节提出”C端获客+B端变现+G端托底”的三层变现架构，并逐一论证各模式的可行性边界。</w:t>
      </w:r>
    </w:p>
    <w:bookmarkStart w:id="82" w:name="c端免费增值模式基础功能免费高级功能按次付费人工咨询升级"/>
    <w:p>
      <w:pPr>
        <w:pStyle w:val="Heading4"/>
      </w:pPr>
      <w:r>
        <w:t xml:space="preserve">5.1.1 C端免费增值模式：基础功能免费→高级功能按次付费→人工咨询升级</w:t>
      </w:r>
    </w:p>
    <w:p>
      <w:pPr>
        <w:pStyle w:val="FirstParagraph"/>
      </w:pPr>
      <w:r>
        <w:t xml:space="preserve">免费增值（Freemium）模式是AI产品验证付费意愿的标准化起点。该模式的核心逻辑在于以零门槛的基础功能快速积累用户基数，再通过差异化的高级功能实现付费转化。在劳动仲裁场景中，基础层提供法律流程指引、通用文书模板和权益自测工具；进阶层按次收费（29-49元/次），覆盖仲裁申请书自动生成、证据清单定制和判例匹配；顶层通过律师转介实现人工咨询升级，服务费归入律师转介收入池。</w:t>
      </w:r>
    </w:p>
    <w:p>
      <w:pPr>
        <w:pStyle w:val="BodyText"/>
      </w:pPr>
      <w:r>
        <w:t xml:space="preserve">行业基准数据显示，免费增值模式下顶级AI应用的付费转化率可达8-12%，一般AI产品约为3%</w:t>
      </w:r>
      <w:fldSimple w:instr="NOTEREF _Ref_Footnote_27 \h \f">
        <w:r>
          <w:rPr>
            <w:vertAlign w:val="superscript"/>
          </w:rPr>
          <w:t>27</w:t>
        </w:r>
      </w:fldSimple>
      <w:r>
        <w:t xml:space="preserve">。Grammarly等成熟产品的免费转付费转化率约3%，这构成了健康基准</w:t>
      </w:r>
      <w:r>
        <w:rPr>
          <w:vertAlign w:val="superscript"/>
        </w:rPr>
        <w:footnoteReference w:id="114"/>
      </w:r>
      <w:r>
        <w:t xml:space="preserve">。结合劳动仲裁产品C端用户的价格敏感特征，估算付费转化率保守值为3%、乐观值为8%。以月活用户（Monthly Active Users, MAU）10万为基准，3%转化率、50元月均ARPU（Average Revenue Per User）可产生月收入1.5万元；8%转化率、99元月均ARPU则产生月收入7.9万元。需注意的是，国内C端AI产品普遍面临付费意愿偏低的挑战——6pen调研显示60%用户从未在AI绘画产品上付费，40%付费用户中仅10%付费超100元</w:t>
      </w:r>
      <w:r>
        <w:rPr>
          <w:vertAlign w:val="superscript"/>
        </w:rPr>
        <w:footnoteReference w:id="115"/>
      </w:r>
      <w:r>
        <w:t xml:space="preserve">；AI Agent行业平均CAC高达50美元/用户，而LTV仅为20-30美元</w:t>
      </w:r>
      <w:fldSimple w:instr="NOTEREF _Ref_Footnote_114 \h \f">
        <w:r>
          <w:rPr>
            <w:vertAlign w:val="superscript"/>
          </w:rPr>
          <w:t>114</w:t>
        </w:r>
      </w:fldSimple>
      <w:r>
        <w:t xml:space="preserve">。这要求C端商业化必须保持”克制”——幂律智能CTO张惟师将这一策略概括为”克制的商业化”，认为法律低频需求属性决定了不宜用续费率衡量产品价值</w:t>
      </w:r>
      <w:r>
        <w:rPr>
          <w:vertAlign w:val="superscript"/>
        </w:rPr>
        <w:footnoteReference w:id="116"/>
      </w:r>
      <w:r>
        <w:t xml:space="preserve">。C端的核心使命是获客与品牌信任建设，而非独立盈利。</w:t>
      </w:r>
    </w:p>
    <w:bookmarkEnd w:id="82"/>
    <w:bookmarkStart w:id="83" w:name="b端企业saas模式hr合规风险评估"/>
    <w:p>
      <w:pPr>
        <w:pStyle w:val="Heading4"/>
      </w:pPr>
      <w:r>
        <w:t xml:space="preserve">5.1.2 B端企业SaaS模式：HR合规风险评估</w:t>
      </w:r>
    </w:p>
    <w:p>
      <w:pPr>
        <w:pStyle w:val="FirstParagraph"/>
      </w:pPr>
      <w:r>
        <w:t xml:space="preserve">B端企业SaaS（Software as a Service）是商业模式设计中的主力收入来源。这一定位建立在双重数据基础之上：一是企业劳动争议败诉率高达70%以上，部分案件类型（如未签劳动合同）败诉率100%</w:t>
      </w:r>
      <w:fldSimple w:instr="NOTEREF _Ref_Footnote_28 \h \f">
        <w:r>
          <w:rPr>
            <w:vertAlign w:val="superscript"/>
          </w:rPr>
          <w:t>28</w:t>
        </w:r>
      </w:fldSimple>
      <w:r>
        <w:t xml:space="preserve">；二是中小企业往往付费能力和付费意愿相对较低，标准化、低成本的法律服务产品成为首选</w:t>
      </w:r>
      <w:fldSimple w:instr="NOTEREF _Ref_Footnote_112 \h \f">
        <w:r>
          <w:rPr>
            <w:vertAlign w:val="superscript"/>
          </w:rPr>
          <w:t>112</w:t>
        </w:r>
      </w:fldSimple>
      <w:r>
        <w:t xml:space="preserve">。企业HR合规SaaS的核心价值主张在于”事前预防”——通过AI驱动的用工风险扫描、合同合规检测和制度漏洞诊断，将劳动纠纷化解在争议发生之前。</w:t>
      </w:r>
    </w:p>
    <w:p>
      <w:pPr>
        <w:pStyle w:val="BodyText"/>
      </w:pPr>
      <w:r>
        <w:t xml:space="preserve">定价策略参考国内外法律科技企业的成熟实践。Harvey采用按律师席位收费模式，单个席位年费起价约14{,}400美元</w:t>
      </w:r>
      <w:r>
        <w:rPr>
          <w:vertAlign w:val="superscript"/>
        </w:rPr>
        <w:footnoteReference w:id="117"/>
      </w:r>
      <w:r>
        <w:t xml:space="preserve">；幂律智能面向中大型企业的合同审查系统年费在10万-30万元区间</w:t>
      </w:r>
      <w:r>
        <w:rPr>
          <w:vertAlign w:val="superscript"/>
        </w:rPr>
        <w:footnoteReference w:id="118"/>
      </w:r>
      <w:r>
        <w:t xml:space="preserve">。考虑到目标客群为中小企业（Small and Medium-sized Businesses, SMB），产品定价应显著低于Harvey和幂律智能的旗舰产品，目标区间为2{,}999-9{,}999元/年，分基础版（用工风险检测+制度模板库）和专业版（全流程合规管理+仲裁案件追踪+数据报表）。中国人力资源市场规模2023年约2.76万亿元，预计2028年增至5.03万亿元</w:t>
      </w:r>
      <w:r>
        <w:rPr>
          <w:vertAlign w:val="superscript"/>
        </w:rPr>
        <w:footnoteReference w:id="119"/>
      </w:r>
      <w:r>
        <w:t xml:space="preserve">，劳动合规是其中不可或缺的高频刚需模块。</w:t>
      </w:r>
    </w:p>
    <w:bookmarkEnd w:id="83"/>
    <w:bookmarkStart w:id="84" w:name="律师转介模式案源分发与合规设计"/>
    <w:p>
      <w:pPr>
        <w:pStyle w:val="Heading4"/>
      </w:pPr>
      <w:r>
        <w:t xml:space="preserve">5.1.3 律师转介模式：案源分发与合规设计</w:t>
      </w:r>
    </w:p>
    <w:p>
      <w:pPr>
        <w:pStyle w:val="FirstParagraph"/>
      </w:pPr>
      <w:r>
        <w:t xml:space="preserve">律师转介模式是连接C端用户与B端律师网络的桥梁变现路径。其商业逻辑源于青年律师的结构性案源焦虑——55.87%的青年律师将案源压力视为首要困扰，超过70%的年轻律师年收入不足10万元</w:t>
      </w:r>
      <w:fldSimple w:instr="NOTEREF _Ref_Footnote_14 \h \f">
        <w:r>
          <w:rPr>
            <w:vertAlign w:val="superscript"/>
          </w:rPr>
          <w:t>14</w:t>
        </w:r>
      </w:fldSimple>
      <w:r>
        <w:t xml:space="preserve">。案源转介可使合作律师收入增长150%，已有平台实现95%的客户续约率</w:t>
      </w:r>
      <w:fldSimple w:instr="NOTEREF _Ref_Footnote_70 \h \f">
        <w:r>
          <w:rPr>
            <w:vertAlign w:val="superscript"/>
          </w:rPr>
          <w:t>70</w:t>
        </w:r>
      </w:fldSimple>
      <w:r>
        <w:t xml:space="preserve">。行业惯例的案源介绍费比例为律师费的10%-20%</w:t>
      </w:r>
      <w:r>
        <w:rPr>
          <w:vertAlign w:val="superscript"/>
        </w:rPr>
        <w:footnoteReference w:id="120"/>
      </w:r>
      <w:r>
        <w:t xml:space="preserve"> </w:t>
      </w:r>
      <w:fldSimple w:instr="NOTEREF _Ref_Footnote_54 \h \f">
        <w:r>
          <w:rPr>
            <w:vertAlign w:val="superscript"/>
          </w:rPr>
          <w:t>54</w:t>
        </w:r>
      </w:fldSimple>
      <w:r>
        <w:t xml:space="preserve">，深度参与谈案的转介可达20%-30%。</w:t>
      </w:r>
    </w:p>
    <w:p>
      <w:pPr>
        <w:pStyle w:val="BodyText"/>
      </w:pPr>
      <w:r>
        <w:t xml:space="preserve">该模式的关键合规风险在于《律师法》第26条——</w:t>
      </w:r>
      <w:r>
        <w:t xml:space="preserve">“</w:t>
      </w:r>
      <w:r>
        <w:t xml:space="preserve">律师事务所和律师不得以支付介绍费等不正当手段承揽业务</w:t>
      </w:r>
      <w:r>
        <w:t xml:space="preserve">”</w:t>
      </w:r>
      <w:fldSimple w:instr="NOTEREF _Ref_Footnote_17 \h \f">
        <w:r>
          <w:rPr>
            <w:vertAlign w:val="superscript"/>
          </w:rPr>
          <w:t>17</w:t>
        </w:r>
      </w:fldSimple>
      <w:r>
        <w:t xml:space="preserve">。这意味着直接以”案源介绍费”名义收取费用存在触碰法律红线的风险。合规设计应采用间接收费架构：平台以”技术服务费”</w:t>
      </w:r>
      <w:r>
        <w:t xml:space="preserve">“</w:t>
      </w:r>
      <w:r>
        <w:t xml:space="preserve">信息服务费</w:t>
      </w:r>
      <w:r>
        <w:t xml:space="preserve">”</w:t>
      </w:r>
      <w:r>
        <w:t xml:space="preserve">或”案件管理系统使用费”名义向律师收取费用，而非按案源成交比例分成。美国先例提供了警示——Avvo曾因涉及费用分成等违规行为被律师监管机构关闭其法律服务计划</w:t>
      </w:r>
      <w:fldSimple w:instr="NOTEREF _Ref_Footnote_73 \h \f">
        <w:r>
          <w:rPr>
            <w:vertAlign w:val="superscript"/>
          </w:rPr>
          <w:t>73</w:t>
        </w:r>
      </w:fldSimple>
      <w:r>
        <w:t xml:space="preserve">。建议在产品形态上，律师支付的是”平台入驻及工具使用年费”，平台提供的核心价值是品牌曝光、客户对接和AI工具赋能，案源匹配仅作为增值功能之一呈现。</w:t>
      </w:r>
    </w:p>
    <w:bookmarkEnd w:id="84"/>
    <w:bookmarkStart w:id="85" w:name="政府购买服务模式法律援助补贴的政策窗口"/>
    <w:p>
      <w:pPr>
        <w:pStyle w:val="Heading4"/>
      </w:pPr>
      <w:r>
        <w:t xml:space="preserve">5.1.4 政府购买服务模式：法律援助补贴的政策窗口</w:t>
      </w:r>
    </w:p>
    <w:p>
      <w:pPr>
        <w:pStyle w:val="FirstParagraph"/>
      </w:pPr>
      <w:r>
        <w:t xml:space="preserve">政府购买服务（Government Procurement of Legal Services）是商业模式中的”稳定器”，具有收入确定性强、政策依据充分、社会价值显著三重优势。人社部等三部门明确要求市县级财政将法律援助经费纳入同级财政预算</w:t>
      </w:r>
      <w:fldSimple w:instr="NOTEREF _Ref_Footnote_3 \h \f">
        <w:r>
          <w:rPr>
            <w:vertAlign w:val="superscript"/>
          </w:rPr>
          <w:t>3</w:t>
        </w:r>
      </w:fldSimple>
      <w:r>
        <w:t xml:space="preserve">。劳动仲裁法律援助案件的补贴标准各地在1{,}000-4{,}000元/件区间：湖南省为4{,}000元/件，天津市为2{,}500元/件，江西省为1{,}200-1{,}600元/件</w:t>
      </w:r>
      <w:fldSimple w:instr="NOTEREF _Ref_Footnote_29 \h \f">
        <w:r>
          <w:rPr>
            <w:vertAlign w:val="superscript"/>
          </w:rPr>
          <w:t>29</w:t>
        </w:r>
      </w:fldSimple>
      <w:r>
        <w:t xml:space="preserve">。上海市已形成”政府承担、定向委托、合同管理、评估兑现”的公共服务供给机制</w:t>
      </w:r>
      <w:r>
        <w:rPr>
          <w:vertAlign w:val="superscript"/>
        </w:rPr>
        <w:footnoteReference w:id="121"/>
      </w:r>
      <w:r>
        <w:t xml:space="preserve">，广东省专门发文规范政府向社会力量购买劳动争议专业性调解服务</w:t>
      </w:r>
      <w:r>
        <w:rPr>
          <w:vertAlign w:val="superscript"/>
        </w:rPr>
        <w:footnoteReference w:id="122"/>
      </w:r>
      <w:r>
        <w:t xml:space="preserve">。</w:t>
      </w:r>
    </w:p>
    <w:p>
      <w:pPr>
        <w:pStyle w:val="BodyText"/>
      </w:pPr>
      <w:r>
        <w:t xml:space="preserve">政府购买服务的产品形态可设计为两类：一是仲裁院AI辅助工作站——在劳动人事争议仲裁院部署AI法律咨询终端，为来访劳动者提供智能分诊、材料预审和流程引导，年采购额参考6-20万元/站点；二是法律援助智能分诊系统——帮助法援机构快速评估申请人的案件类型、紧急程度和胜诉概率，优化法援资源分配。国际上有直接先例：爱沙尼亚司法部计划以AI聊天机器人取代目前每年为约一万名经济困难人士提供的免费法律咨询服务，预计2026年初上线</w:t>
      </w:r>
      <w:r>
        <w:rPr>
          <w:vertAlign w:val="superscript"/>
        </w:rPr>
        <w:footnoteReference w:id="123"/>
      </w:r>
      <w:r>
        <w:t xml:space="preserve">。</w:t>
      </w:r>
    </w:p>
    <w:p>
      <w:pPr>
        <w:pStyle w:val="BodyText"/>
      </w:pPr>
      <w:r>
        <w:t xml:space="preserve">下表对四种变现模式进行系统对比：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C端免费增值</w:t>
            </w:r>
          </w:p>
        </w:tc>
        <w:tc>
          <w:tcPr/>
          <w:p>
            <w:pPr>
              <w:pStyle w:val="Compact"/>
              <w:jc w:val="left"/>
            </w:pPr>
            <w:r>
              <w:t xml:space="preserve">B端企业SaaS</w:t>
            </w:r>
          </w:p>
        </w:tc>
        <w:tc>
          <w:tcPr/>
          <w:p>
            <w:pPr>
              <w:pStyle w:val="Compact"/>
              <w:jc w:val="left"/>
            </w:pPr>
            <w:r>
              <w:t xml:space="preserve">律师转介</w:t>
            </w:r>
          </w:p>
        </w:tc>
        <w:tc>
          <w:tcPr/>
          <w:p>
            <w:pPr>
              <w:pStyle w:val="Compact"/>
              <w:jc w:val="left"/>
            </w:pPr>
            <w:r>
              <w:t xml:space="preserve">政府购买服务</w:t>
            </w:r>
          </w:p>
        </w:tc>
      </w:tr>
      <w:tr>
        <w:tc>
          <w:tcPr/>
          <w:p>
            <w:pPr>
              <w:pStyle w:val="Compact"/>
              <w:jc w:val="left"/>
            </w:pPr>
            <w:r>
              <w:rPr>
                <w:bCs/>
                <w:b/>
              </w:rPr>
              <w:t xml:space="preserve">目标客户</w:t>
            </w:r>
          </w:p>
        </w:tc>
        <w:tc>
          <w:tcPr/>
          <w:p>
            <w:pPr>
              <w:pStyle w:val="Compact"/>
              <w:jc w:val="left"/>
            </w:pPr>
            <w:r>
              <w:t xml:space="preserve">劳动者个人</w:t>
            </w:r>
          </w:p>
        </w:tc>
        <w:tc>
          <w:tcPr/>
          <w:p>
            <w:pPr>
              <w:pStyle w:val="Compact"/>
              <w:jc w:val="left"/>
            </w:pPr>
            <w:r>
              <w:t xml:space="preserve">中小企业HR</w:t>
            </w:r>
          </w:p>
        </w:tc>
        <w:tc>
          <w:tcPr/>
          <w:p>
            <w:pPr>
              <w:pStyle w:val="Compact"/>
              <w:jc w:val="left"/>
            </w:pPr>
            <w:r>
              <w:t xml:space="preserve">青年律师/中小律所</w:t>
            </w:r>
          </w:p>
        </w:tc>
        <w:tc>
          <w:tcPr/>
          <w:p>
            <w:pPr>
              <w:pStyle w:val="Compact"/>
              <w:jc w:val="left"/>
            </w:pPr>
            <w:r>
              <w:t xml:space="preserve">司法局/仲裁院/法援中心</w:t>
            </w:r>
          </w:p>
        </w:tc>
      </w:tr>
      <w:tr>
        <w:tc>
          <w:tcPr/>
          <w:p>
            <w:pPr>
              <w:pStyle w:val="Compact"/>
              <w:jc w:val="left"/>
            </w:pPr>
            <w:r>
              <w:rPr>
                <w:bCs/>
                <w:b/>
              </w:rPr>
              <w:t xml:space="preserve">定价模式</w:t>
            </w:r>
          </w:p>
        </w:tc>
        <w:tc>
          <w:tcPr/>
          <w:p>
            <w:pPr>
              <w:pStyle w:val="Compact"/>
              <w:jc w:val="left"/>
            </w:pPr>
            <w:r>
              <w:t xml:space="preserve">免费+29-49元/次+订阅</w:t>
            </w:r>
          </w:p>
        </w:tc>
        <w:tc>
          <w:tcPr/>
          <w:p>
            <w:pPr>
              <w:pStyle w:val="Compact"/>
              <w:jc w:val="left"/>
            </w:pPr>
            <w:r>
              <w:t xml:space="preserve">2{,}999-9{,}999元/年</w:t>
            </w:r>
          </w:p>
        </w:tc>
        <w:tc>
          <w:tcPr/>
          <w:p>
            <w:pPr>
              <w:pStyle w:val="Compact"/>
              <w:jc w:val="left"/>
            </w:pPr>
            <w:r>
              <w:t xml:space="preserve">技术工具年费（合规包装）</w:t>
            </w:r>
          </w:p>
        </w:tc>
        <w:tc>
          <w:tcPr/>
          <w:p>
            <w:pPr>
              <w:pStyle w:val="Compact"/>
              <w:jc w:val="left"/>
            </w:pPr>
            <w:r>
              <w:t xml:space="preserve">6-20万元/年/站点</w:t>
            </w:r>
          </w:p>
        </w:tc>
      </w:tr>
      <w:tr>
        <w:tc>
          <w:tcPr/>
          <w:p>
            <w:pPr>
              <w:pStyle w:val="Compact"/>
              <w:jc w:val="left"/>
            </w:pPr>
            <w:r>
              <w:rPr>
                <w:bCs/>
                <w:b/>
              </w:rPr>
              <w:t xml:space="preserve">收入确定性</w:t>
            </w:r>
          </w:p>
        </w:tc>
        <w:tc>
          <w:tcPr/>
          <w:p>
            <w:pPr>
              <w:pStyle w:val="Compact"/>
              <w:jc w:val="left"/>
            </w:pPr>
            <w:r>
              <w:t xml:space="preserve">低（转化率波动）</w:t>
            </w:r>
          </w:p>
        </w:tc>
        <w:tc>
          <w:tcPr/>
          <w:p>
            <w:pPr>
              <w:pStyle w:val="Compact"/>
              <w:jc w:val="left"/>
            </w:pPr>
            <w:r>
              <w:t xml:space="preserve">高（年度合同）</w:t>
            </w:r>
          </w:p>
        </w:tc>
        <w:tc>
          <w:tcPr/>
          <w:p>
            <w:pPr>
              <w:pStyle w:val="Compact"/>
              <w:jc w:val="left"/>
            </w:pPr>
            <w:r>
              <w:t xml:space="preserve">中（依赖成交）</w:t>
            </w:r>
          </w:p>
        </w:tc>
        <w:tc>
          <w:tcPr/>
          <w:p>
            <w:pPr>
              <w:pStyle w:val="Compact"/>
              <w:jc w:val="left"/>
            </w:pPr>
            <w:r>
              <w:t xml:space="preserve">高（财政预算）</w:t>
            </w:r>
          </w:p>
        </w:tc>
      </w:tr>
      <w:tr>
        <w:tc>
          <w:tcPr/>
          <w:p>
            <w:pPr>
              <w:pStyle w:val="Compact"/>
              <w:jc w:val="left"/>
            </w:pPr>
            <w:r>
              <w:rPr>
                <w:bCs/>
                <w:b/>
              </w:rPr>
              <w:t xml:space="preserve">启动难度</w:t>
            </w:r>
          </w:p>
        </w:tc>
        <w:tc>
          <w:tcPr/>
          <w:p>
            <w:pPr>
              <w:pStyle w:val="Compact"/>
              <w:jc w:val="left"/>
            </w:pPr>
            <w:r>
              <w:t xml:space="preserve">低</w:t>
            </w:r>
          </w:p>
        </w:tc>
        <w:tc>
          <w:tcPr/>
          <w:p>
            <w:pPr>
              <w:pStyle w:val="Compact"/>
              <w:jc w:val="left"/>
            </w:pPr>
            <w:r>
              <w:t xml:space="preserve">中（需销售能力）</w:t>
            </w:r>
          </w:p>
        </w:tc>
        <w:tc>
          <w:tcPr/>
          <w:p>
            <w:pPr>
              <w:pStyle w:val="Compact"/>
              <w:jc w:val="left"/>
            </w:pPr>
            <w:r>
              <w:t xml:space="preserve">低（律师合作意愿强）</w:t>
            </w:r>
          </w:p>
        </w:tc>
        <w:tc>
          <w:tcPr/>
          <w:p>
            <w:pPr>
              <w:pStyle w:val="Compact"/>
              <w:jc w:val="left"/>
            </w:pPr>
            <w:r>
              <w:t xml:space="preserve">中（需政策对接）</w:t>
            </w:r>
          </w:p>
        </w:tc>
      </w:tr>
      <w:tr>
        <w:tc>
          <w:tcPr/>
          <w:p>
            <w:pPr>
              <w:pStyle w:val="Compact"/>
              <w:jc w:val="left"/>
            </w:pPr>
            <w:r>
              <w:rPr>
                <w:bCs/>
                <w:b/>
              </w:rPr>
              <w:t xml:space="preserve">核心壁垒</w:t>
            </w:r>
          </w:p>
        </w:tc>
        <w:tc>
          <w:tcPr/>
          <w:p>
            <w:pPr>
              <w:pStyle w:val="Compact"/>
              <w:jc w:val="left"/>
            </w:pPr>
            <w:r>
              <w:t xml:space="preserve">用户规模</w:t>
            </w:r>
          </w:p>
        </w:tc>
        <w:tc>
          <w:tcPr/>
          <w:p>
            <w:pPr>
              <w:pStyle w:val="Compact"/>
              <w:jc w:val="left"/>
            </w:pPr>
            <w:r>
              <w:t xml:space="preserve">产品深度+客户成功</w:t>
            </w:r>
          </w:p>
        </w:tc>
        <w:tc>
          <w:tcPr/>
          <w:p>
            <w:pPr>
              <w:pStyle w:val="Compact"/>
              <w:jc w:val="left"/>
            </w:pPr>
            <w:r>
              <w:t xml:space="preserve">律师网络+合规设计</w:t>
            </w:r>
          </w:p>
        </w:tc>
        <w:tc>
          <w:tcPr/>
          <w:p>
            <w:pPr>
              <w:pStyle w:val="Compact"/>
              <w:jc w:val="left"/>
            </w:pPr>
            <w:r>
              <w:t xml:space="preserve">政府关系+资质</w:t>
            </w:r>
          </w:p>
        </w:tc>
      </w:tr>
      <w:tr>
        <w:tc>
          <w:tcPr/>
          <w:p>
            <w:pPr>
              <w:pStyle w:val="Compact"/>
              <w:jc w:val="left"/>
            </w:pPr>
            <w:r>
              <w:rPr>
                <w:bCs/>
                <w:b/>
              </w:rPr>
              <w:t xml:space="preserve">成熟期收入占比</w:t>
            </w:r>
          </w:p>
        </w:tc>
        <w:tc>
          <w:tcPr/>
          <w:p>
            <w:pPr>
              <w:pStyle w:val="Compact"/>
              <w:jc w:val="left"/>
            </w:pPr>
            <w:r>
              <w:t xml:space="preserve">10-15%</w:t>
            </w:r>
          </w:p>
        </w:tc>
        <w:tc>
          <w:tcPr/>
          <w:p>
            <w:pPr>
              <w:pStyle w:val="Compact"/>
              <w:jc w:val="left"/>
            </w:pPr>
            <w:r>
              <w:t xml:space="preserve">50-60%</w:t>
            </w:r>
          </w:p>
        </w:tc>
        <w:tc>
          <w:tcPr/>
          <w:p>
            <w:pPr>
              <w:pStyle w:val="Compact"/>
              <w:jc w:val="left"/>
            </w:pPr>
            <w:r>
              <w:t xml:space="preserve">5-10%</w:t>
            </w:r>
          </w:p>
        </w:tc>
        <w:tc>
          <w:tcPr/>
          <w:p>
            <w:pPr>
              <w:pStyle w:val="Compact"/>
              <w:jc w:val="left"/>
            </w:pPr>
            <w:r>
              <w:t xml:space="preserve">20-30%</w:t>
            </w:r>
          </w:p>
        </w:tc>
      </w:tr>
      <w:tr>
        <w:tc>
          <w:tcPr/>
          <w:p>
            <w:pPr>
              <w:pStyle w:val="Compact"/>
              <w:jc w:val="left"/>
            </w:pPr>
            <w:r>
              <w:rPr>
                <w:bCs/>
                <w:b/>
              </w:rPr>
              <w:t xml:space="preserve">关键合规点</w:t>
            </w:r>
          </w:p>
        </w:tc>
        <w:tc>
          <w:tcPr/>
          <w:p>
            <w:pPr>
              <w:pStyle w:val="Compact"/>
              <w:jc w:val="left"/>
            </w:pPr>
            <w:r>
              <w:t xml:space="preserve">用户数据保护</w:t>
            </w:r>
          </w:p>
        </w:tc>
        <w:tc>
          <w:tcPr/>
          <w:p>
            <w:pPr>
              <w:pStyle w:val="Compact"/>
              <w:jc w:val="left"/>
            </w:pPr>
            <w:r>
              <w:t xml:space="preserve">企业数据安全</w:t>
            </w:r>
          </w:p>
        </w:tc>
        <w:tc>
          <w:tcPr/>
          <w:p>
            <w:pPr>
              <w:pStyle w:val="Compact"/>
              <w:jc w:val="left"/>
            </w:pPr>
            <w:r>
              <w:t xml:space="preserve">《律师法》第26条红线</w:t>
            </w:r>
          </w:p>
        </w:tc>
        <w:tc>
          <w:tcPr/>
          <w:p>
            <w:pPr>
              <w:pStyle w:val="Compact"/>
              <w:jc w:val="left"/>
            </w:pPr>
            <w:r>
              <w:t xml:space="preserve">政府采购流程</w:t>
            </w:r>
          </w:p>
        </w:tc>
      </w:tr>
      <w:tr>
        <w:tc>
          <w:tcPr/>
          <w:p>
            <w:pPr>
              <w:pStyle w:val="Compact"/>
              <w:jc w:val="left"/>
            </w:pPr>
            <w:r>
              <w:rPr>
                <w:bCs/>
                <w:b/>
              </w:rPr>
              <w:t xml:space="preserve">启动时间</w:t>
            </w:r>
          </w:p>
        </w:tc>
        <w:tc>
          <w:tcPr/>
          <w:p>
            <w:pPr>
              <w:pStyle w:val="Compact"/>
              <w:jc w:val="left"/>
            </w:pPr>
            <w:r>
              <w:t xml:space="preserve">即时</w:t>
            </w:r>
          </w:p>
        </w:tc>
        <w:tc>
          <w:tcPr/>
          <w:p>
            <w:pPr>
              <w:pStyle w:val="Compact"/>
              <w:jc w:val="left"/>
            </w:pPr>
            <w:r>
              <w:t xml:space="preserve">6个月内</w:t>
            </w:r>
          </w:p>
        </w:tc>
        <w:tc>
          <w:tcPr/>
          <w:p>
            <w:pPr>
              <w:pStyle w:val="Compact"/>
              <w:jc w:val="left"/>
            </w:pPr>
            <w:r>
              <w:t xml:space="preserve">12个月后</w:t>
            </w:r>
          </w:p>
        </w:tc>
        <w:tc>
          <w:tcPr/>
          <w:p>
            <w:pPr>
              <w:pStyle w:val="Compact"/>
              <w:jc w:val="left"/>
            </w:pPr>
            <w:r>
              <w:t xml:space="preserve">3个月内对接</w:t>
            </w:r>
          </w:p>
        </w:tc>
      </w:tr>
    </w:tbl>
    <w:p>
      <w:pPr>
        <w:pStyle w:val="BodyText"/>
      </w:pPr>
      <w:r>
        <w:t xml:space="preserve">上表揭示了四种模式在收入结构中的差异化定位。C端免费增值是获客入口和品牌建设工具，而非利润中心；B端企业SaaS承担主要收入职能，贡献成熟期收入的50-60%</w:t>
      </w:r>
      <w:r>
        <w:rPr>
          <w:vertAlign w:val="superscript"/>
        </w:rPr>
        <w:footnoteReference w:id="124"/>
      </w:r>
      <w:r>
        <w:t xml:space="preserve">；律师转介是生态闭环的有机组成，但受限于合规约束仅作为补充；政府购买服务提供稳定现金流和政策背书，是商业化进程中的”压舱石”。</w:t>
      </w:r>
    </w:p>
    <w:bookmarkEnd w:id="85"/>
    <w:bookmarkEnd w:id="86"/>
    <w:bookmarkStart w:id="93" w:name="收入测算与盈亏平衡"/>
    <w:p>
      <w:pPr>
        <w:pStyle w:val="Heading3"/>
      </w:pPr>
      <w:r>
        <w:t xml:space="preserve">5.2 收入测算与盈亏平衡</w:t>
      </w:r>
    </w:p>
    <w:bookmarkStart w:id="87" w:name="mvp阶段成本结构"/>
    <w:p>
      <w:pPr>
        <w:pStyle w:val="Heading4"/>
      </w:pPr>
      <w:r>
        <w:t xml:space="preserve">5.2.1 MVP阶段成本结构</w:t>
      </w:r>
    </w:p>
    <w:p>
      <w:pPr>
        <w:pStyle w:val="FirstParagraph"/>
      </w:pPr>
      <w:r>
        <w:t xml:space="preserve">MVP（Minimum Viable Product，最小可行产品）阶段的成本结构设计遵循”从零开始、阶梯投入”原则。基于前期技术可行性验证，MVP可通过Gemini免费层、DeepSeek免费层和Hugging Face部署实现零成本启动。随着用户规模增长，成本分三档递进：开发测试期$0/月（利用免费API额度）、小规模运行期$0-5/月（补充API调用量）、正式运行期$5-20/月（升级推理性能）。年度成本结构如下表所示：</w:t>
      </w:r>
    </w:p>
    <w:tbl>
      <w:tblPr>
        <w:tblStyle w:val="Table"/>
        <w:tblW w:type="pct" w:w="5000"/>
        <w:tblLook w:firstRow="1" w:lastRow="0" w:firstColumn="0" w:lastColumn="0" w:noHBand="0" w:noVBand="0" w:val="0020"/>
      </w:tblPr>
      <w:tblGrid>
        <w:gridCol w:w="1760"/>
        <w:gridCol w:w="2200"/>
        <w:gridCol w:w="2200"/>
        <w:gridCol w:w="1760"/>
      </w:tblGrid>
      <w:tr>
        <w:trPr>
          <w:tblHeader w:val="true"/>
        </w:trPr>
        <w:tc>
          <w:tcPr/>
          <w:p>
            <w:pPr>
              <w:pStyle w:val="Compact"/>
              <w:jc w:val="left"/>
            </w:pPr>
            <w:r>
              <w:t xml:space="preserve">成本项</w:t>
            </w:r>
          </w:p>
        </w:tc>
        <w:tc>
          <w:tcPr/>
          <w:p>
            <w:pPr>
              <w:pStyle w:val="Compact"/>
              <w:jc w:val="center"/>
            </w:pPr>
            <w:r>
              <w:t xml:space="preserve">保守情景（Year 1）</w:t>
            </w:r>
          </w:p>
        </w:tc>
        <w:tc>
          <w:tcPr/>
          <w:p>
            <w:pPr>
              <w:pStyle w:val="Compact"/>
              <w:jc w:val="center"/>
            </w:pPr>
            <w:r>
              <w:t xml:space="preserve">乐观情景（Year 1）</w:t>
            </w:r>
          </w:p>
        </w:tc>
        <w:tc>
          <w:tcPr/>
          <w:p>
            <w:pPr>
              <w:pStyle w:val="Compact"/>
              <w:jc w:val="left"/>
            </w:pPr>
            <w:r>
              <w:t xml:space="preserve">成本驱动因素说明</w:t>
            </w:r>
          </w:p>
        </w:tc>
      </w:tr>
      <w:tr>
        <w:tc>
          <w:tcPr/>
          <w:p>
            <w:pPr>
              <w:pStyle w:val="Compact"/>
              <w:jc w:val="left"/>
            </w:pPr>
            <w:r>
              <w:t xml:space="preserve">AI API调用（大模型推理）</w:t>
            </w:r>
          </w:p>
        </w:tc>
        <w:tc>
          <w:tcPr/>
          <w:p>
            <w:pPr>
              <w:pStyle w:val="Compact"/>
              <w:jc w:val="center"/>
            </w:pPr>
            <w:r>
              <w:t xml:space="preserve">0-0.6万</w:t>
            </w:r>
          </w:p>
        </w:tc>
        <w:tc>
          <w:tcPr/>
          <w:p>
            <w:pPr>
              <w:pStyle w:val="Compact"/>
              <w:jc w:val="center"/>
            </w:pPr>
            <w:r>
              <w:t xml:space="preserve">3-6万</w:t>
            </w:r>
          </w:p>
        </w:tc>
        <w:tc>
          <w:tcPr/>
          <w:p>
            <w:pPr>
              <w:pStyle w:val="Compact"/>
              <w:jc w:val="left"/>
            </w:pPr>
            <w:r>
              <w:t xml:space="preserve">随DAU增长线性上升，DeepSeek API约0.001-0.005元/千token</w:t>
            </w:r>
          </w:p>
        </w:tc>
      </w:tr>
      <w:tr>
        <w:tc>
          <w:tcPr/>
          <w:p>
            <w:pPr>
              <w:pStyle w:val="Compact"/>
              <w:jc w:val="left"/>
            </w:pPr>
            <w:r>
              <w:t xml:space="preserve">云服务器/托管</w:t>
            </w:r>
          </w:p>
        </w:tc>
        <w:tc>
          <w:tcPr/>
          <w:p>
            <w:pPr>
              <w:pStyle w:val="Compact"/>
              <w:jc w:val="center"/>
            </w:pPr>
            <w:r>
              <w:t xml:space="preserve">0-0.3万</w:t>
            </w:r>
          </w:p>
        </w:tc>
        <w:tc>
          <w:tcPr/>
          <w:p>
            <w:pPr>
              <w:pStyle w:val="Compact"/>
              <w:jc w:val="center"/>
            </w:pPr>
            <w:r>
              <w:t xml:space="preserve">1-2万</w:t>
            </w:r>
          </w:p>
        </w:tc>
        <w:tc>
          <w:tcPr/>
          <w:p>
            <w:pPr>
              <w:pStyle w:val="Compact"/>
              <w:jc w:val="left"/>
            </w:pPr>
            <w:r>
              <w:t xml:space="preserve">Hugging Face免费→Vercel Pro→轻量云服务器</w:t>
            </w:r>
          </w:p>
        </w:tc>
      </w:tr>
      <w:tr>
        <w:tc>
          <w:tcPr/>
          <w:p>
            <w:pPr>
              <w:pStyle w:val="Compact"/>
              <w:jc w:val="left"/>
            </w:pPr>
            <w:r>
              <w:t xml:space="preserve">数据库与存储</w:t>
            </w:r>
          </w:p>
        </w:tc>
        <w:tc>
          <w:tcPr/>
          <w:p>
            <w:pPr>
              <w:pStyle w:val="Compact"/>
              <w:jc w:val="center"/>
            </w:pPr>
            <w:r>
              <w:t xml:space="preserve">0</w:t>
            </w:r>
          </w:p>
        </w:tc>
        <w:tc>
          <w:tcPr/>
          <w:p>
            <w:pPr>
              <w:pStyle w:val="Compact"/>
              <w:jc w:val="center"/>
            </w:pPr>
            <w:r>
              <w:t xml:space="preserve">0.3-0.6万</w:t>
            </w:r>
          </w:p>
        </w:tc>
        <w:tc>
          <w:tcPr/>
          <w:p>
            <w:pPr>
              <w:pStyle w:val="Compact"/>
              <w:jc w:val="left"/>
            </w:pPr>
            <w:r>
              <w:t xml:space="preserve">用户数据、案例库、文书模板存储</w:t>
            </w:r>
          </w:p>
        </w:tc>
      </w:tr>
      <w:tr>
        <w:tc>
          <w:tcPr/>
          <w:p>
            <w:pPr>
              <w:pStyle w:val="Compact"/>
              <w:jc w:val="left"/>
            </w:pPr>
            <w:r>
              <w:t xml:space="preserve">可信时间戳存证</w:t>
            </w:r>
          </w:p>
        </w:tc>
        <w:tc>
          <w:tcPr/>
          <w:p>
            <w:pPr>
              <w:pStyle w:val="Compact"/>
              <w:jc w:val="center"/>
            </w:pPr>
            <w:r>
              <w:t xml:space="preserve">0-0.1万</w:t>
            </w:r>
          </w:p>
        </w:tc>
        <w:tc>
          <w:tcPr/>
          <w:p>
            <w:pPr>
              <w:pStyle w:val="Compact"/>
              <w:jc w:val="center"/>
            </w:pPr>
            <w:r>
              <w:t xml:space="preserve">0.3-0.5万</w:t>
            </w:r>
          </w:p>
        </w:tc>
        <w:tc>
          <w:tcPr/>
          <w:p>
            <w:pPr>
              <w:pStyle w:val="Compact"/>
              <w:jc w:val="left"/>
            </w:pPr>
            <w:r>
              <w:t xml:space="preserve">30元/次，按实际使用量计费</w:t>
            </w:r>
          </w:p>
        </w:tc>
      </w:tr>
      <w:tr>
        <w:tc>
          <w:tcPr/>
          <w:p>
            <w:pPr>
              <w:pStyle w:val="Compact"/>
              <w:jc w:val="left"/>
            </w:pPr>
            <w:r>
              <w:t xml:space="preserve">域名+基础工具订阅</w:t>
            </w:r>
          </w:p>
        </w:tc>
        <w:tc>
          <w:tcPr/>
          <w:p>
            <w:pPr>
              <w:pStyle w:val="Compact"/>
              <w:jc w:val="center"/>
            </w:pPr>
            <w:r>
              <w:t xml:space="preserve">0.1-0.2万</w:t>
            </w:r>
          </w:p>
        </w:tc>
        <w:tc>
          <w:tcPr/>
          <w:p>
            <w:pPr>
              <w:pStyle w:val="Compact"/>
              <w:jc w:val="center"/>
            </w:pPr>
            <w:r>
              <w:t xml:space="preserve">0.2-0.4万</w:t>
            </w:r>
          </w:p>
        </w:tc>
        <w:tc>
          <w:tcPr/>
          <w:p>
            <w:pPr>
              <w:pStyle w:val="Compact"/>
              <w:jc w:val="left"/>
            </w:pPr>
            <w:r>
              <w:t xml:space="preserve">域名、邮箱、协作工具</w:t>
            </w:r>
          </w:p>
        </w:tc>
      </w:tr>
      <w:tr>
        <w:tc>
          <w:tcPr/>
          <w:p>
            <w:pPr>
              <w:pStyle w:val="Compact"/>
              <w:jc w:val="left"/>
            </w:pPr>
            <w:r>
              <w:t xml:space="preserve">合规与法务</w:t>
            </w:r>
          </w:p>
        </w:tc>
        <w:tc>
          <w:tcPr/>
          <w:p>
            <w:pPr>
              <w:pStyle w:val="Compact"/>
              <w:jc w:val="center"/>
            </w:pPr>
            <w:r>
              <w:t xml:space="preserve">0</w:t>
            </w:r>
          </w:p>
        </w:tc>
        <w:tc>
          <w:tcPr/>
          <w:p>
            <w:pPr>
              <w:pStyle w:val="Compact"/>
              <w:jc w:val="center"/>
            </w:pPr>
            <w:r>
              <w:t xml:space="preserve">1-3万</w:t>
            </w:r>
          </w:p>
        </w:tc>
        <w:tc>
          <w:tcPr/>
          <w:p>
            <w:pPr>
              <w:pStyle w:val="Compact"/>
              <w:jc w:val="left"/>
            </w:pPr>
            <w:r>
              <w:t xml:space="preserve">律师审核、免责声明、备案咨询</w:t>
            </w:r>
          </w:p>
        </w:tc>
      </w:tr>
      <w:tr>
        <w:tc>
          <w:tcPr/>
          <w:p>
            <w:pPr>
              <w:pStyle w:val="Compact"/>
              <w:jc w:val="left"/>
            </w:pPr>
            <w:r>
              <w:t xml:space="preserve">推广与获客</w:t>
            </w:r>
          </w:p>
        </w:tc>
        <w:tc>
          <w:tcPr/>
          <w:p>
            <w:pPr>
              <w:pStyle w:val="Compact"/>
              <w:jc w:val="center"/>
            </w:pPr>
            <w:r>
              <w:t xml:space="preserve">0-0.5万</w:t>
            </w:r>
          </w:p>
        </w:tc>
        <w:tc>
          <w:tcPr/>
          <w:p>
            <w:pPr>
              <w:pStyle w:val="Compact"/>
              <w:jc w:val="center"/>
            </w:pPr>
            <w:r>
              <w:t xml:space="preserve">3-5万</w:t>
            </w:r>
          </w:p>
        </w:tc>
        <w:tc>
          <w:tcPr/>
          <w:p>
            <w:pPr>
              <w:pStyle w:val="Compact"/>
              <w:jc w:val="left"/>
            </w:pPr>
            <w:r>
              <w:t xml:space="preserve">内容营销、SEO、社群运营</w:t>
            </w:r>
          </w:p>
        </w:tc>
      </w:tr>
      <w:tr>
        <w:tc>
          <w:tcPr/>
          <w:p>
            <w:pPr>
              <w:pStyle w:val="Compact"/>
              <w:jc w:val="left"/>
            </w:pPr>
            <w:r>
              <w:rPr>
                <w:bCs/>
                <w:b/>
              </w:rPr>
              <w:t xml:space="preserve">年度运营成本合计</w:t>
            </w:r>
          </w:p>
        </w:tc>
        <w:tc>
          <w:tcPr/>
          <w:p>
            <w:pPr>
              <w:pStyle w:val="Compact"/>
              <w:jc w:val="center"/>
            </w:pPr>
            <w:r>
              <w:rPr>
                <w:bCs/>
                <w:b/>
              </w:rPr>
              <w:t xml:space="preserve">0.2-1.7万</w:t>
            </w:r>
          </w:p>
        </w:tc>
        <w:tc>
          <w:tcPr/>
          <w:p>
            <w:pPr>
              <w:pStyle w:val="Compact"/>
              <w:jc w:val="center"/>
            </w:pPr>
            <w:r>
              <w:rPr>
                <w:bCs/>
                <w:b/>
              </w:rPr>
              <w:t xml:space="preserve">8.8-17.5万</w:t>
            </w:r>
          </w:p>
        </w:tc>
        <w:tc>
          <w:tcPr/>
          <w:p>
            <w:pPr>
              <w:pStyle w:val="Compact"/>
              <w:jc w:val="left"/>
            </w:pPr>
            <w:r>
              <w:t xml:space="preserve">保守情景以免费层为主，乐观情景提前投入</w:t>
            </w:r>
          </w:p>
        </w:tc>
      </w:tr>
      <w:tr>
        <w:tc>
          <w:tcPr/>
          <w:p>
            <w:pPr>
              <w:pStyle w:val="Compact"/>
              <w:jc w:val="left"/>
            </w:pPr>
            <w:r>
              <w:t xml:space="preserve">人力投入（创始团队）</w:t>
            </w:r>
          </w:p>
        </w:tc>
        <w:tc>
          <w:tcPr/>
          <w:p>
            <w:pPr>
              <w:pStyle w:val="Compact"/>
              <w:jc w:val="center"/>
            </w:pPr>
            <w:r>
              <w:t xml:space="preserve">机会成本</w:t>
            </w:r>
          </w:p>
        </w:tc>
        <w:tc>
          <w:tcPr/>
          <w:p>
            <w:pPr>
              <w:pStyle w:val="Compact"/>
              <w:jc w:val="center"/>
            </w:pPr>
            <w:r>
              <w:t xml:space="preserve">机会成本</w:t>
            </w:r>
          </w:p>
        </w:tc>
        <w:tc>
          <w:tcPr/>
          <w:p>
            <w:pPr>
              <w:pStyle w:val="Compact"/>
              <w:jc w:val="left"/>
            </w:pPr>
            <w:r>
              <w:t xml:space="preserve">不计入现金成本</w:t>
            </w:r>
          </w:p>
        </w:tc>
      </w:tr>
    </w:tbl>
    <w:p>
      <w:pPr>
        <w:pStyle w:val="BodyText"/>
      </w:pPr>
      <w:r>
        <w:t xml:space="preserve">上表呈现的成本结构显著低于传统SaaS创业——这是因为MVP阶段充分利用了开源模型免费层和Serverless部署架构。保守情景下Year 1现金成本可控制在2万元以内，乐观情景下也仅需9-18万元。与传统法律科技创业（通常需100-200万种子轮融资</w:t>
      </w:r>
      <w:fldSimple w:instr="NOTEREF _Ref_Footnote_118 \h \f">
        <w:r>
          <w:rPr>
            <w:vertAlign w:val="superscript"/>
          </w:rPr>
          <w:t>118</w:t>
        </w:r>
      </w:fldSimple>
      <w:r>
        <w:t xml:space="preserve">）相比，这一成本结构使个体创业者和小团队也能够独立启动验证。</w:t>
      </w:r>
    </w:p>
    <w:bookmarkEnd w:id="87"/>
    <w:bookmarkStart w:id="91" w:name="收入预测保守与乐观双情景"/>
    <w:p>
      <w:pPr>
        <w:pStyle w:val="Heading4"/>
      </w:pPr>
      <w:r>
        <w:t xml:space="preserve">5.2.2 收入预测：保守与乐观双情景</w:t>
      </w:r>
    </w:p>
    <w:p>
      <w:pPr>
        <w:pStyle w:val="FirstParagraph"/>
      </w:pPr>
      <w:r>
        <w:t xml:space="preserve">基于前文四种变现模式的组合设计，建立双情景收入预测模型。保守情景假设产品-市场匹配（Product-Market Fit, PMF）验证周期较长、企业客户获取速度温和；乐观假设PMF快速验证、 viral（病毒式）增长效应显现。</w:t>
      </w:r>
    </w:p>
    <w:p>
      <w:pPr>
        <w:pStyle w:val="BodyText"/>
      </w:pPr>
      <w:r>
        <w:rPr>
          <w:bCs/>
          <w:b/>
        </w:rPr>
        <w:t xml:space="preserve">保守情景假设</w:t>
      </w:r>
      <w:r>
        <w:t xml:space="preserve">：MAU 10万、付费转化率3%、个人ARPU 50元/月、企业客户Year 1达50家（ARPU 3{,}000元/年）、政府采购合同3个（10万元/年）、按次付费5{,}000次×29元。Year 1年度总收入约77.5万元，Year 2约155万元</w:t>
      </w:r>
      <w:fldSimple w:instr="NOTEREF _Ref_Footnote_27 \h \f">
        <w:r>
          <w:rPr>
            <w:vertAlign w:val="superscript"/>
          </w:rPr>
          <w:t>27</w:t>
        </w:r>
      </w:fldSimple>
      <w:r>
        <w:t xml:space="preserve"> </w:t>
      </w:r>
      <w:fldSimple w:instr="NOTEREF _Ref_Footnote_114 \h \f">
        <w:r>
          <w:rPr>
            <w:vertAlign w:val="superscript"/>
          </w:rPr>
          <w:t>114</w:t>
        </w:r>
      </w:fldSimple>
      <w:r>
        <w:t xml:space="preserve">。</w:t>
      </w:r>
    </w:p>
    <w:p>
      <w:pPr>
        <w:pStyle w:val="BodyText"/>
      </w:pPr>
      <w:r>
        <w:rPr>
          <w:bCs/>
          <w:b/>
        </w:rPr>
        <w:t xml:space="preserve">乐观情景假设</w:t>
      </w:r>
      <w:r>
        <w:t xml:space="preserve">：MAU 50万、付费转化率8%、个人ARPU 99元/月、企业客户Year 1达200家（ARPU 5{,}000元/年）、政府采购合同10个（15万元/年）、按次付费2万次×49元。Year 1年度总收入约823.2万元，Year 2约1{,}671.4万元。</w:t>
      </w:r>
    </w:p>
    <w:p>
      <w:pPr>
        <w:pStyle w:val="CaptionedFigure"/>
      </w:pPr>
      <w:r>
        <w:drawing>
          <wp:inline>
            <wp:extent cx="5334000" cy="2838161"/>
            <wp:effectExtent b="0" l="0" r="0" t="0"/>
            <wp:docPr descr="MVP阶段收入预测：保守情景vs乐观情景" title="" id="89" name="Picture"/>
            <a:graphic>
              <a:graphicData uri="http://schemas.openxmlformats.org/drawingml/2006/picture">
                <pic:pic>
                  <pic:nvPicPr>
                    <pic:cNvPr descr="labor_arb_chart_revenue.png" id="90" name="Picture"/>
                    <pic:cNvPicPr>
                      <a:picLocks noChangeArrowheads="1" noChangeAspect="1"/>
                    </pic:cNvPicPr>
                  </pic:nvPicPr>
                  <pic:blipFill>
                    <a:blip r:embed="rId88"/>
                    <a:stretch>
                      <a:fillRect/>
                    </a:stretch>
                  </pic:blipFill>
                  <pic:spPr bwMode="auto">
                    <a:xfrm>
                      <a:off x="0" y="0"/>
                      <a:ext cx="5334000" cy="2838161"/>
                    </a:xfrm>
                    <a:prstGeom prst="rect">
                      <a:avLst/>
                    </a:prstGeom>
                    <a:noFill/>
                    <a:ln w="9525">
                      <a:noFill/>
                      <a:headEnd/>
                      <a:tailEnd/>
                    </a:ln>
                  </pic:spPr>
                </pic:pic>
              </a:graphicData>
            </a:graphic>
          </wp:inline>
        </w:drawing>
      </w:r>
    </w:p>
    <w:p>
      <w:pPr>
        <w:pStyle w:val="ImageCaption"/>
      </w:pPr>
      <w:r>
        <w:t xml:space="preserve">MVP阶段收入预测：保守情景vs乐观情景</w:t>
      </w:r>
    </w:p>
    <w:p>
      <w:pPr>
        <w:pStyle w:val="BodyText"/>
      </w:pPr>
      <w:r>
        <w:t xml:space="preserve">上图展示了24个月运营周期内的累计收入与累计成本对比。两条收入曲线与对应成本曲线的交叉点即盈亏平衡（Break-even）时刻。保守情景下累计收入在第6个月首次超过累计成本（早期零成本运营使盈亏平衡前置），但持续稳定的盈利需等待企业SaaS收入规模化后于Year 2下半年实现；乐观情景下由于企业客户获取速度加快，第5个月即实现累计盈亏平衡。需强调的是，早期盈亏平衡主要由极低运营成本驱动，而非高收入——保守情景下Year 2累计收入约470万元，扣除两年约40万元运营成本后，净现金流约430万元；乐观情景下Year 2累计收入约4{,}530万元，扣除约120万元成本后，净现金流约4{,}410万元。</w:t>
      </w:r>
    </w:p>
    <w:p>
      <w:pPr>
        <w:pStyle w:val="BodyText"/>
      </w:pPr>
      <w:r>
        <w:t xml:space="preserve">收入结构的优先级排序遵循”B端优先、G端托底、C端获客、转介补充”的原则。企业SaaS在保守情景Year 2贡献约29%收入，乐观情景贡献约18%——看似占比不高，但B端客户的高续约率和低流失率使其成为长期LTV（Life Time Value）的核心支撑。上上签的标杆数据显示，健康的B2B SaaS企业LTV/CAC可达5.4，大客户续约率93.6%，NDR（Net Dollar Retention）103.9%</w:t>
      </w:r>
      <w:r>
        <w:rPr>
          <w:vertAlign w:val="superscript"/>
        </w:rPr>
        <w:footnoteReference w:id="125"/>
      </w:r>
      <w:r>
        <w:t xml:space="preserve">。政府采购收入的确定性最强——劳动仲裁法律援助已纳入多地政府购买服务指导性目录</w:t>
      </w:r>
      <w:r>
        <w:rPr>
          <w:vertAlign w:val="superscript"/>
        </w:rPr>
        <w:footnoteReference w:id="126"/>
      </w:r>
      <w:r>
        <w:t xml:space="preserve">，补贴标准明确，合同周期通常为1-3年。</w:t>
      </w:r>
    </w:p>
    <w:bookmarkEnd w:id="91"/>
    <w:bookmarkStart w:id="92" w:name="关键健康指标"/>
    <w:p>
      <w:pPr>
        <w:pStyle w:val="Heading4"/>
      </w:pPr>
      <w:r>
        <w:t xml:space="preserve">5.2.3 关键健康指标</w:t>
      </w:r>
    </w:p>
    <w:p>
      <w:pPr>
        <w:pStyle w:val="FirstParagraph"/>
      </w:pPr>
      <w:r>
        <w:t xml:space="preserve">衡量商业模式可持续性的指标体系参考SaaS行业基准</w:t>
      </w:r>
      <w:r>
        <w:rPr>
          <w:vertAlign w:val="superscript"/>
        </w:rPr>
        <w:footnoteReference w:id="127"/>
      </w:r>
      <w:r>
        <w:t xml:space="preserve"> </w:t>
      </w:r>
      <w:r>
        <w:rPr>
          <w:vertAlign w:val="superscript"/>
        </w:rPr>
        <w:footnoteReference w:id="128"/>
      </w:r>
      <w:r>
        <w:t xml:space="preserve">，结合法律科技行业特殊性进行适配：</w:t>
      </w:r>
    </w:p>
    <w:p>
      <w:pPr>
        <w:pStyle w:val="BodyText"/>
      </w:pPr>
      <w:r>
        <w:rPr>
          <w:bCs/>
          <w:b/>
        </w:rPr>
        <w:t xml:space="preserve">LTV/CAC &gt; 3</w:t>
      </w:r>
      <w:r>
        <w:t xml:space="preserve">。客户生命周期价值（Life Time Value）与获取成本（Customer Acquisition Cost）的比值是单位经济模型的核心指标。LTV/CAC &gt; 3为合格线，&gt; 5为优秀。法律AI产品CAC控制的关键在于利用C端免费服务作为获客漏斗顶端，降低付费客户的边际获客成本。AI Agent行业平均CAC 50美元但LTV仅20-30美元的失衡状态</w:t>
      </w:r>
      <w:fldSimple w:instr="NOTEREF _Ref_Footnote_114 \h \f">
        <w:r>
          <w:rPr>
            <w:vertAlign w:val="superscript"/>
          </w:rPr>
          <w:t>114</w:t>
        </w:r>
      </w:fldSimple>
      <w:r>
        <w:t xml:space="preserve">是需极力规避的陷阱。</w:t>
      </w:r>
    </w:p>
    <w:p>
      <w:pPr>
        <w:pStyle w:val="BodyText"/>
      </w:pPr>
      <w:r>
        <w:rPr>
          <w:bCs/>
          <w:b/>
        </w:rPr>
        <w:t xml:space="preserve">毛利率 &gt; 70%</w:t>
      </w:r>
      <w:r>
        <w:t xml:space="preserve">。SaaS产品边际成本趋近于零的特征决定了其天然高毛利属性。本产品的API调用成本随用户量增长，但单次服务成本极低（29元按次付费的API成本约0.5-2元），预计成熟运营后毛利率可达75-85%。</w:t>
      </w:r>
    </w:p>
    <w:p>
      <w:pPr>
        <w:pStyle w:val="BodyText"/>
      </w:pPr>
      <w:r>
        <w:rPr>
          <w:bCs/>
          <w:b/>
        </w:rPr>
        <w:t xml:space="preserve">CAC回收期 &lt; 12个月</w:t>
      </w:r>
      <w:r>
        <w:t xml:space="preserve">。客户获取成本的回收速度直接影响现金流健康。B端企业SaaS年费3{,}000-10{,}000元、毛利率75%意味着每个客户贡献年毛利2{,}250-7{,}500元。若B端CAC控制在2{,}000元以内，回收期可控制在3个月以内。</w:t>
      </w:r>
    </w:p>
    <w:p>
      <w:pPr>
        <w:pStyle w:val="BodyText"/>
      </w:pPr>
      <w:r>
        <w:rPr>
          <w:bCs/>
          <w:b/>
        </w:rPr>
        <w:t xml:space="preserve">月流失率 &lt; 5%</w:t>
      </w:r>
      <w:r>
        <w:t xml:space="preserve">。法律服务的低频属性可能导致C端用户自然流失偏高。 mitigate策略包括：B端客户的高粘性（劳动合同通常年度续签，HR系统切换成本高）、政府客户的长期合同绑定，以及C端通过社群运营和内容推送提升回访率。</w:t>
      </w:r>
    </w:p>
    <w:p>
      <w:pPr>
        <w:pStyle w:val="BodyText"/>
      </w:pPr>
      <w:r>
        <w:rPr>
          <w:bCs/>
          <w:b/>
        </w:rPr>
        <w:t xml:space="preserve">NDR &gt; 100%</w:t>
      </w:r>
      <w:r>
        <w:t xml:space="preserve">。净收入留存率（Net Dollar Retention）反映存量客户的收入增长贡献。健康的SaaS企业通过upsell（向上销售）和cross-sell（交叉销售）使NDR超过100%。上上签NDR 103.9%</w:t>
      </w:r>
      <w:fldSimple w:instr="NOTEREF _Ref_Footnote_125 \h \f">
        <w:r>
          <w:rPr>
            <w:vertAlign w:val="superscript"/>
          </w:rPr>
          <w:t>125</w:t>
        </w:r>
      </w:fldSimple>
      <w:r>
        <w:t xml:space="preserve">是国内标杆——对本产品而言，企业客户从基础版升级至专业版、从单一模块扩展至全流程合规，是NDR提升的主要路径。</w:t>
      </w:r>
    </w:p>
    <w:p>
      <w:pPr>
        <w:pStyle w:val="BodyText"/>
      </w:pPr>
      <w:r>
        <w:t xml:space="preserve">上述指标体系中，LTV/CAC和CAC回收期是最需持续监控的前置指标。若运营6个月后LTV/CAC仍低于2，意味着获客策略或产品价值主张存在根本性缺陷，需要重新审视目标客群或调整定价结构。毛利率则是产品工程能力的体现——API调用成本优化、缓存策略设计和模型蒸馏（Model Distillation）是提升毛利率的三大技术杠杆。法律科技行业55.6%的企业仍处于天使轮至A+轮</w:t>
      </w:r>
      <w:r>
        <w:rPr>
          <w:vertAlign w:val="superscript"/>
        </w:rPr>
        <w:footnoteReference w:id="129"/>
      </w:r>
      <w:r>
        <w:t xml:space="preserve">，多数产品尚未实现盈利，这要求本产品在MVP阶段即建立严格的单位经济核算，避免”烧钱换增长”的陷阱。</w:t>
      </w:r>
    </w:p>
    <w:p>
      <w:r>
        <w:pict>
          <v:rect style="width:0;height:1.5pt" o:hralign="center" o:hrstd="t" o:hr="t"/>
        </w:pict>
      </w:r>
    </w:p>
    <w:bookmarkEnd w:id="92"/>
    <w:bookmarkEnd w:id="93"/>
    <w:bookmarkEnd w:id="94"/>
    <w:bookmarkStart w:id="111" w:name="mvp实施方案"/>
    <w:p>
      <w:pPr>
        <w:pStyle w:val="Heading2"/>
      </w:pPr>
      <w:r>
        <w:t xml:space="preserve">6. MVP实施方案</w:t>
      </w:r>
    </w:p>
    <w:bookmarkStart w:id="98" w:name="最小功能集mvp-scope"/>
    <w:p>
      <w:pPr>
        <w:pStyle w:val="Heading3"/>
      </w:pPr>
      <w:r>
        <w:t xml:space="preserve">6.1 最小功能集（MVP Scope）</w:t>
      </w:r>
    </w:p>
    <w:p>
      <w:pPr>
        <w:pStyle w:val="FirstParagraph"/>
      </w:pPr>
      <w:r>
        <w:t xml:space="preserve">MVP（Minimum Viable Product，最小可行产品）的目标是在最低成本约束下验证产品价值假设。纯大模型方案配合零成本技术栈可将月运营成本控制在$0-20区间</w:t>
      </w:r>
      <w:fldSimple w:instr="NOTEREF _Ref_Footnote_5 \h \f">
        <w:r>
          <w:rPr>
            <w:vertAlign w:val="superscript"/>
          </w:rPr>
          <w:t>5</w:t>
        </w:r>
      </w:fldSimple>
      <w:r>
        <w:t xml:space="preserve"> </w:t>
      </w:r>
      <w:r>
        <w:rPr>
          <w:vertAlign w:val="superscript"/>
        </w:rPr>
        <w:footnoteReference w:id="130"/>
      </w:r>
      <w:r>
        <w:t xml:space="preserve">，但功能范围的选择直接决定验证效率。研究表明，73%的劳动争议涉及电子证据，其中31.4%因取证不当丧失法律效力</w:t>
      </w:r>
      <w:fldSimple w:instr="NOTEREF _Ref_Footnote_61 \h \f">
        <w:r>
          <w:rPr>
            <w:vertAlign w:val="superscript"/>
          </w:rPr>
          <w:t>61</w:t>
        </w:r>
      </w:fldSimple>
      <w:r>
        <w:t xml:space="preserve"> </w:t>
      </w:r>
      <w:fldSimple w:instr="NOTEREF _Ref_Footnote_122 \h \f">
        <w:r>
          <w:rPr>
            <w:vertAlign w:val="superscript"/>
          </w:rPr>
          <w:t>122</w:t>
        </w:r>
      </w:fldSimple>
      <w:r>
        <w:t xml:space="preserve">——用户的首要痛点并非”法律咨询”本身，而是”知道了答案却无法执行”。因此，MVP功能集应围绕”证据采集助手”而非”法律咨询机器人”展开。</w:t>
      </w:r>
    </w:p>
    <w:bookmarkStart w:id="95" w:name="第一优先级p0核心闭环功能"/>
    <w:p>
      <w:pPr>
        <w:pStyle w:val="Heading4"/>
      </w:pPr>
      <w:r>
        <w:t xml:space="preserve">6.1.1 第一优先级（P0）：核心闭环功能</w:t>
      </w:r>
    </w:p>
    <w:p>
      <w:pPr>
        <w:pStyle w:val="FirstParagraph"/>
      </w:pPr>
      <w:r>
        <w:t xml:space="preserve">P0功能构成MVP的最小可用单元，缺失任何一项都会导致用户无法完成从”发现问题”到”采取行动”的闭环：</w:t>
      </w:r>
    </w:p>
    <w:p>
      <w:pPr>
        <w:pStyle w:val="BodyText"/>
      </w:pPr>
      <w:r>
        <w:rPr>
          <w:bCs/>
          <w:b/>
        </w:rPr>
        <w:t xml:space="preserve">纠纷类型识别</w:t>
      </w:r>
      <w:r>
        <w:t xml:space="preserve">通过5-10道结构化选择题判断争议类型（欠薪、违法解除、加班费、未签劳动合同、工伤待遇等），输出对应的法律关系和适用法律条文</w:t>
      </w:r>
      <w:fldSimple w:instr="NOTEREF _Ref_Footnote_55 \h \f">
        <w:r>
          <w:rPr>
            <w:vertAlign w:val="superscript"/>
          </w:rPr>
          <w:t>55</w:t>
        </w:r>
      </w:fldSimple>
      <w:r>
        <w:t xml:space="preserve">。关键在于将开放式咨询转化为封闭式问卷，既降低模型幻觉风险，又明确服务边界以规避《律师法》第13条关于非律师从事诉讼代理的禁止性规定</w:t>
      </w:r>
      <w:r>
        <w:rPr>
          <w:vertAlign w:val="superscript"/>
        </w:rPr>
        <w:footnoteReference w:id="131"/>
      </w:r>
      <w:r>
        <w:t xml:space="preserve">。</w:t>
      </w:r>
    </w:p>
    <w:p>
      <w:pPr>
        <w:pStyle w:val="BodyText"/>
      </w:pPr>
      <w:r>
        <w:rPr>
          <w:bCs/>
          <w:b/>
        </w:rPr>
        <w:t xml:space="preserve">行动指引</w:t>
      </w:r>
      <w:r>
        <w:t xml:space="preserve">提供维权路径的递进关系：协商 → 投诉 → 仲裁 → 诉讼，以及每一步的操作入口（当地仲裁委立案平台、12333热线等）</w:t>
      </w:r>
      <w:fldSimple w:instr="NOTEREF _Ref_Footnote_62 \h \f">
        <w:r>
          <w:rPr>
            <w:vertAlign w:val="superscript"/>
          </w:rPr>
          <w:t>62</w:t>
        </w:r>
      </w:fldSimple>
      <w:r>
        <w:t xml:space="preserve">。产品需内置各地仲裁委的差异化要求——例如北京要求证据格式为JPG/BMP/PNG/PDF且录音需另附书面材料</w:t>
      </w:r>
      <w:fldSimple w:instr="NOTEREF _Ref_Footnote_62 \h \f">
        <w:r>
          <w:rPr>
            <w:vertAlign w:val="superscript"/>
          </w:rPr>
          <w:t>62</w:t>
        </w:r>
      </w:fldSimple>
      <w:r>
        <w:t xml:space="preserve">，深圳要求申请人10个工作日内补充证据</w:t>
      </w:r>
      <w:fldSimple w:instr="NOTEREF _Ref_Footnote_63 \h \f">
        <w:r>
          <w:rPr>
            <w:vertAlign w:val="superscript"/>
          </w:rPr>
          <w:t>63</w:t>
        </w:r>
      </w:fldSimple>
      <w:r>
        <w:t xml:space="preserve">，苏州需额外提交调解意见征询书</w:t>
      </w:r>
      <w:fldSimple w:instr="NOTEREF _Ref_Footnote_65 \h \f">
        <w:r>
          <w:rPr>
            <w:vertAlign w:val="superscript"/>
          </w:rPr>
          <w:t>65</w:t>
        </w:r>
      </w:fldSimple>
      <w:r>
        <w:t xml:space="preserve">。深圳福田区劳动仲裁院的实践表明，AI辅助的流程引导可将文书处理时间从4小时缩短至4分钟</w:t>
      </w:r>
      <w:fldSimple w:instr="NOTEREF _Ref_Footnote_83 \h \f">
        <w:r>
          <w:rPr>
            <w:vertAlign w:val="superscript"/>
          </w:rPr>
          <w:t>83</w:t>
        </w:r>
      </w:fldSimple>
      <w:r>
        <w:t xml:space="preserve">。</w:t>
      </w:r>
    </w:p>
    <w:p>
      <w:pPr>
        <w:pStyle w:val="BodyText"/>
      </w:pPr>
      <w:r>
        <w:rPr>
          <w:bCs/>
          <w:b/>
        </w:rPr>
        <w:t xml:space="preserve">证据清单</w:t>
      </w:r>
      <w:r>
        <w:t xml:space="preserve">基于争议类型动态生成个性化清单，标注每项证据的紧急程度、获取难度和证明力。八大类核心证据体系（劳动关系证明、工资证明、沟通记录、解除证明、工时证据、社保记录、公司信息、其他辅助）覆盖90%以上仲裁场景</w:t>
      </w:r>
      <w:fldSimple w:instr="NOTEREF _Ref_Footnote_61 \h \f">
        <w:r>
          <w:rPr>
            <w:vertAlign w:val="superscript"/>
          </w:rPr>
          <w:t>61</w:t>
        </w:r>
      </w:fldSimple>
      <w:r>
        <w:t xml:space="preserve"> </w:t>
      </w:r>
      <w:fldSimple w:instr="NOTEREF _Ref_Footnote_57 \h \f">
        <w:r>
          <w:rPr>
            <w:vertAlign w:val="superscript"/>
          </w:rPr>
          <w:t>57</w:t>
        </w:r>
      </w:fldSimple>
      <w:r>
        <w:t xml:space="preserve">。以”违法解除”场景为例，系统自动生成：①劳动合同或劳动关系证明（必需）、②解除通知书（核心证据）、③工资流水（计算基数依据）、④考勤记录（证明正常履职）、⑤公司工商信息（确定被申请人主体）等清单项，每项附获取路径指引（如”工资流水：携带身份证至工资卡开户行柜台打印，需加盖银行业务章”）。</w:t>
      </w:r>
    </w:p>
    <w:p>
      <w:pPr>
        <w:pStyle w:val="BodyText"/>
      </w:pPr>
      <w:r>
        <w:rPr>
          <w:bCs/>
          <w:b/>
        </w:rPr>
        <w:t xml:space="preserve">时效提醒</w:t>
      </w:r>
      <w:r>
        <w:t xml:space="preserve">防止用户权利丧失。劳动争议仲裁时效期间为1年</w:t>
      </w:r>
      <w:r>
        <w:rPr>
          <w:vertAlign w:val="superscript"/>
        </w:rPr>
        <w:footnoteReference w:id="132"/>
      </w:r>
      <w:r>
        <w:t xml:space="preserve">，劳动关系终止后需在1年内提出</w:t>
      </w:r>
      <w:r>
        <w:rPr>
          <w:vertAlign w:val="superscript"/>
        </w:rPr>
        <w:footnoteReference w:id="133"/>
      </w:r>
      <w:r>
        <w:t xml:space="preserve">。系统需在用户输入关键时间信息后自动生成时效预警。</w:t>
      </w:r>
    </w:p>
    <w:p>
      <w:pPr>
        <w:pStyle w:val="BodyText"/>
      </w:pPr>
      <w:r>
        <w:rPr>
          <w:bCs/>
          <w:b/>
        </w:rPr>
        <w:t xml:space="preserve">律师背书与免责声明</w:t>
      </w:r>
      <w:r>
        <w:t xml:space="preserve">是合规运营的双重保障。所有AI生成内容附带标准化免责声明</w:t>
      </w:r>
      <w:r>
        <w:rPr>
          <w:vertAlign w:val="superscript"/>
        </w:rPr>
        <w:footnoteReference w:id="134"/>
      </w:r>
      <w:r>
        <w:t xml:space="preserve">。MVP阶段通过与1-2名青年律师合作（案源转介分成10-20%作为激励</w:t>
      </w:r>
      <w:fldSimple w:instr="NOTEREF _Ref_Footnote_120 \h \f">
        <w:r>
          <w:rPr>
            <w:vertAlign w:val="superscript"/>
          </w:rPr>
          <w:t>120</w:t>
        </w:r>
      </w:fldSimple>
      <w:r>
        <w:t xml:space="preserve">），在仲裁申请书生成后插入”申请律师审核”入口。律师审核不仅提升内容可信度，更为产品积累合规记录——合规运营本身将成为品牌资产和竞争壁垒。</w:t>
      </w:r>
    </w:p>
    <w:bookmarkEnd w:id="95"/>
    <w:bookmarkStart w:id="96" w:name="第二优先级p1付费转化功能"/>
    <w:p>
      <w:pPr>
        <w:pStyle w:val="Heading4"/>
      </w:pPr>
      <w:r>
        <w:t xml:space="preserve">6.1.2 第二优先级（P1）：付费转化功能</w:t>
      </w:r>
    </w:p>
    <w:p>
      <w:pPr>
        <w:pStyle w:val="FirstParagraph"/>
      </w:pPr>
      <w:r>
        <w:rPr>
          <w:bCs/>
          <w:b/>
        </w:rPr>
        <w:t xml:space="preserve">补偿金计算</w:t>
      </w:r>
      <w:r>
        <w:t xml:space="preserve">是大模型表现存在短板的环节——模型对”违法解除”的定性不敏感，倾向按N而非2N计算。因此采用本地JSON规则引擎实现，覆盖经济补偿金（N）、代通知金（N+1）、违法解除赔偿金（2N）、未休年假工资、加班费、未签劳动合同二倍工资差额等场景</w:t>
      </w:r>
      <w:r>
        <w:rPr>
          <w:vertAlign w:val="superscript"/>
        </w:rPr>
        <w:footnoteReference w:id="135"/>
      </w:r>
      <w:r>
        <w:t xml:space="preserve"> </w:t>
      </w:r>
      <w:r>
        <w:rPr>
          <w:vertAlign w:val="superscript"/>
        </w:rPr>
        <w:footnoteReference w:id="136"/>
      </w:r>
      <w:r>
        <w:t xml:space="preserve">。</w:t>
      </w:r>
    </w:p>
    <w:p>
      <w:pPr>
        <w:pStyle w:val="BodyText"/>
      </w:pPr>
      <w:r>
        <w:rPr>
          <w:bCs/>
          <w:b/>
        </w:rPr>
        <w:t xml:space="preserve">文书模板生成</w:t>
      </w:r>
      <w:r>
        <w:t xml:space="preserve">通过引导式问卷自动填充仲裁申请书标准格式（申请人信息、被申请人信息、仲裁请求、事实与理由、证据清单、附项）</w:t>
      </w:r>
      <w:fldSimple w:instr="NOTEREF _Ref_Footnote_64 \h \f">
        <w:r>
          <w:rPr>
            <w:vertAlign w:val="superscript"/>
          </w:rPr>
          <w:t>64</w:t>
        </w:r>
      </w:fldSimple>
      <w:r>
        <w:t xml:space="preserve">。需注意”事实与理由”部分”点到即可”，不同于答辩书需详细论述</w:t>
      </w:r>
      <w:r>
        <w:rPr>
          <w:vertAlign w:val="superscript"/>
        </w:rPr>
        <w:footnoteReference w:id="137"/>
      </w:r>
      <w:r>
        <w:t xml:space="preserve">。</w:t>
      </w:r>
    </w:p>
    <w:p>
      <w:pPr>
        <w:pStyle w:val="BodyText"/>
      </w:pPr>
      <w:r>
        <w:rPr>
          <w:bCs/>
          <w:b/>
        </w:rPr>
        <w:t xml:space="preserve">地区差异提示</w:t>
      </w:r>
      <w:r>
        <w:t xml:space="preserve">提供全国统一的核心计算框架，由用户输入所在地关键数据后自动匹配规则，通过”数据置信度”指标让用户判断结果可靠性。</w:t>
      </w:r>
    </w:p>
    <w:bookmarkEnd w:id="96"/>
    <w:bookmarkStart w:id="97" w:name="第三优先级p2规模化功能"/>
    <w:p>
      <w:pPr>
        <w:pStyle w:val="Heading4"/>
      </w:pPr>
      <w:r>
        <w:t xml:space="preserve">6.1.3 第三优先级（P2）：规模化功能</w:t>
      </w:r>
    </w:p>
    <w:p>
      <w:pPr>
        <w:pStyle w:val="FirstParagraph"/>
      </w:pPr>
      <w:r>
        <w:rPr>
          <w:bCs/>
          <w:b/>
        </w:rPr>
        <w:t xml:space="preserve">实时法规更新</w:t>
      </w:r>
      <w:r>
        <w:t xml:space="preserve">通过Prompt层面的日期注入（30分钟即可实现</w:t>
      </w:r>
      <w:fldSimple w:instr="NOTEREF _Ref_Footnote_99 \h \f">
        <w:r>
          <w:rPr>
            <w:vertAlign w:val="superscript"/>
          </w:rPr>
          <w:t>99</w:t>
        </w:r>
      </w:fldSimple>
      <w:r>
        <w:t xml:space="preserve">）缓解大模型知识截止日期问题，MVP阶段每季度手动更新关键法规摘要。</w:t>
      </w:r>
      <w:r>
        <w:rPr>
          <w:bCs/>
          <w:b/>
        </w:rPr>
        <w:t xml:space="preserve">律师转介</w:t>
      </w:r>
      <w:r>
        <w:t xml:space="preserve">构建”AI初稿+人工审核”的变现闭环，88%的律师已使用AI，55.87%青年律师将案源不足列为首要焦虑[^dim04^]，但需注意《律师法》第26条限制，建议以”技术服务费”名义设计收费模式</w:t>
      </w:r>
      <w:fldSimple w:instr="NOTEREF _Ref_Footnote_131 \h \f">
        <w:r>
          <w:rPr>
            <w:vertAlign w:val="superscript"/>
          </w:rPr>
          <w:t>131</w:t>
        </w:r>
      </w:fldSimple>
      <w:r>
        <w:t xml:space="preserve">。</w:t>
      </w:r>
      <w:r>
        <w:rPr>
          <w:bCs/>
          <w:b/>
        </w:rPr>
        <w:t xml:space="preserve">社区功能</w:t>
      </w:r>
      <w:r>
        <w:t xml:space="preserve">在用户规模达1万UV后启动。</w:t>
      </w:r>
    </w:p>
    <w:p>
      <w:pPr>
        <w:pStyle w:val="BodyText"/>
      </w:pPr>
      <w:r>
        <w:t xml:space="preserve">下表汇总了MVP功能优先级及实现方式：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优先级</w:t>
            </w:r>
          </w:p>
        </w:tc>
        <w:tc>
          <w:tcPr/>
          <w:p>
            <w:pPr>
              <w:pStyle w:val="Compact"/>
              <w:jc w:val="left"/>
            </w:pPr>
            <w:r>
              <w:t xml:space="preserve">功能模块</w:t>
            </w:r>
          </w:p>
        </w:tc>
        <w:tc>
          <w:tcPr/>
          <w:p>
            <w:pPr>
              <w:pStyle w:val="Compact"/>
              <w:jc w:val="left"/>
            </w:pPr>
            <w:r>
              <w:t xml:space="preserve">技术实现方式</w:t>
            </w:r>
          </w:p>
        </w:tc>
        <w:tc>
          <w:tcPr/>
          <w:p>
            <w:pPr>
              <w:pStyle w:val="Compact"/>
              <w:jc w:val="center"/>
            </w:pPr>
            <w:r>
              <w:t xml:space="preserve">模型依赖</w:t>
            </w:r>
          </w:p>
        </w:tc>
        <w:tc>
          <w:tcPr/>
          <w:p>
            <w:pPr>
              <w:pStyle w:val="Compact"/>
              <w:jc w:val="center"/>
            </w:pPr>
            <w:r>
              <w:t xml:space="preserve">合规风险</w:t>
            </w:r>
          </w:p>
        </w:tc>
      </w:tr>
      <w:tr>
        <w:tc>
          <w:tcPr/>
          <w:p>
            <w:pPr>
              <w:pStyle w:val="Compact"/>
              <w:jc w:val="center"/>
            </w:pPr>
            <w:r>
              <w:t xml:space="preserve">P0</w:t>
            </w:r>
          </w:p>
        </w:tc>
        <w:tc>
          <w:tcPr/>
          <w:p>
            <w:pPr>
              <w:pStyle w:val="Compact"/>
              <w:jc w:val="left"/>
            </w:pPr>
            <w:r>
              <w:t xml:space="preserve">纠纷类型识别</w:t>
            </w:r>
          </w:p>
        </w:tc>
        <w:tc>
          <w:tcPr/>
          <w:p>
            <w:pPr>
              <w:pStyle w:val="Compact"/>
              <w:jc w:val="left"/>
            </w:pPr>
            <w:r>
              <w:t xml:space="preserve">结构化问卷 + 大模型意图分类</w:t>
            </w:r>
          </w:p>
        </w:tc>
        <w:tc>
          <w:tcPr/>
          <w:p>
            <w:pPr>
              <w:pStyle w:val="Compact"/>
              <w:jc w:val="center"/>
            </w:pPr>
            <w:r>
              <w:t xml:space="preserve">中</w:t>
            </w:r>
          </w:p>
        </w:tc>
        <w:tc>
          <w:tcPr/>
          <w:p>
            <w:pPr>
              <w:pStyle w:val="Compact"/>
              <w:jc w:val="center"/>
            </w:pPr>
            <w:r>
              <w:t xml:space="preserve">低</w:t>
            </w:r>
          </w:p>
        </w:tc>
      </w:tr>
      <w:tr>
        <w:tc>
          <w:tcPr/>
          <w:p>
            <w:pPr>
              <w:pStyle w:val="Compact"/>
              <w:jc w:val="center"/>
            </w:pPr>
            <w:r>
              <w:t xml:space="preserve">P0</w:t>
            </w:r>
          </w:p>
        </w:tc>
        <w:tc>
          <w:tcPr/>
          <w:p>
            <w:pPr>
              <w:pStyle w:val="Compact"/>
              <w:jc w:val="left"/>
            </w:pPr>
            <w:r>
              <w:t xml:space="preserve">行动指引</w:t>
            </w:r>
          </w:p>
        </w:tc>
        <w:tc>
          <w:tcPr/>
          <w:p>
            <w:pPr>
              <w:pStyle w:val="Compact"/>
              <w:jc w:val="left"/>
            </w:pPr>
            <w:r>
              <w:t xml:space="preserve">本地规则库 + 大模型生成</w:t>
            </w:r>
          </w:p>
        </w:tc>
        <w:tc>
          <w:tcPr/>
          <w:p>
            <w:pPr>
              <w:pStyle w:val="Compact"/>
              <w:jc w:val="center"/>
            </w:pPr>
            <w:r>
              <w:t xml:space="preserve">中</w:t>
            </w:r>
          </w:p>
        </w:tc>
        <w:tc>
          <w:tcPr/>
          <w:p>
            <w:pPr>
              <w:pStyle w:val="Compact"/>
              <w:jc w:val="center"/>
            </w:pPr>
            <w:r>
              <w:t xml:space="preserve">低</w:t>
            </w:r>
          </w:p>
        </w:tc>
      </w:tr>
      <w:tr>
        <w:tc>
          <w:tcPr/>
          <w:p>
            <w:pPr>
              <w:pStyle w:val="Compact"/>
              <w:jc w:val="center"/>
            </w:pPr>
            <w:r>
              <w:t xml:space="preserve">P0</w:t>
            </w:r>
          </w:p>
        </w:tc>
        <w:tc>
          <w:tcPr/>
          <w:p>
            <w:pPr>
              <w:pStyle w:val="Compact"/>
              <w:jc w:val="left"/>
            </w:pPr>
            <w:r>
              <w:t xml:space="preserve">证据清单</w:t>
            </w:r>
          </w:p>
        </w:tc>
        <w:tc>
          <w:tcPr/>
          <w:p>
            <w:pPr>
              <w:pStyle w:val="Compact"/>
              <w:jc w:val="left"/>
            </w:pPr>
            <w:r>
              <w:t xml:space="preserve">模板引擎 + 条件判断</w:t>
            </w:r>
          </w:p>
        </w:tc>
        <w:tc>
          <w:tcPr/>
          <w:p>
            <w:pPr>
              <w:pStyle w:val="Compact"/>
              <w:jc w:val="center"/>
            </w:pPr>
            <w:r>
              <w:t xml:space="preserve">低</w:t>
            </w:r>
          </w:p>
        </w:tc>
        <w:tc>
          <w:tcPr/>
          <w:p>
            <w:pPr>
              <w:pStyle w:val="Compact"/>
              <w:jc w:val="center"/>
            </w:pPr>
            <w:r>
              <w:t xml:space="preserve">低</w:t>
            </w:r>
          </w:p>
        </w:tc>
      </w:tr>
      <w:tr>
        <w:tc>
          <w:tcPr/>
          <w:p>
            <w:pPr>
              <w:pStyle w:val="Compact"/>
              <w:jc w:val="center"/>
            </w:pPr>
            <w:r>
              <w:t xml:space="preserve">P0</w:t>
            </w:r>
          </w:p>
        </w:tc>
        <w:tc>
          <w:tcPr/>
          <w:p>
            <w:pPr>
              <w:pStyle w:val="Compact"/>
              <w:jc w:val="left"/>
            </w:pPr>
            <w:r>
              <w:t xml:space="preserve">时效提醒</w:t>
            </w:r>
          </w:p>
        </w:tc>
        <w:tc>
          <w:tcPr/>
          <w:p>
            <w:pPr>
              <w:pStyle w:val="Compact"/>
              <w:jc w:val="left"/>
            </w:pPr>
            <w:r>
              <w:t xml:space="preserve">日期计算 + 规则触发</w:t>
            </w:r>
          </w:p>
        </w:tc>
        <w:tc>
          <w:tcPr/>
          <w:p>
            <w:pPr>
              <w:pStyle w:val="Compact"/>
              <w:jc w:val="center"/>
            </w:pPr>
            <w:r>
              <w:t xml:space="preserve">无</w:t>
            </w:r>
          </w:p>
        </w:tc>
        <w:tc>
          <w:tcPr/>
          <w:p>
            <w:pPr>
              <w:pStyle w:val="Compact"/>
              <w:jc w:val="center"/>
            </w:pPr>
            <w:r>
              <w:t xml:space="preserve">低</w:t>
            </w:r>
          </w:p>
        </w:tc>
      </w:tr>
      <w:tr>
        <w:tc>
          <w:tcPr/>
          <w:p>
            <w:pPr>
              <w:pStyle w:val="Compact"/>
              <w:jc w:val="center"/>
            </w:pPr>
            <w:r>
              <w:t xml:space="preserve">P0</w:t>
            </w:r>
          </w:p>
        </w:tc>
        <w:tc>
          <w:tcPr/>
          <w:p>
            <w:pPr>
              <w:pStyle w:val="Compact"/>
              <w:jc w:val="left"/>
            </w:pPr>
            <w:r>
              <w:t xml:space="preserve">律师背书+免责声明</w:t>
            </w:r>
          </w:p>
        </w:tc>
        <w:tc>
          <w:tcPr/>
          <w:p>
            <w:pPr>
              <w:pStyle w:val="Compact"/>
              <w:jc w:val="left"/>
            </w:pPr>
            <w:r>
              <w:t xml:space="preserve">标准化模板 + 人工审核入口</w:t>
            </w:r>
          </w:p>
        </w:tc>
        <w:tc>
          <w:tcPr/>
          <w:p>
            <w:pPr>
              <w:pStyle w:val="Compact"/>
              <w:jc w:val="center"/>
            </w:pPr>
            <w:r>
              <w:t xml:space="preserve">无</w:t>
            </w:r>
          </w:p>
        </w:tc>
        <w:tc>
          <w:tcPr/>
          <w:p>
            <w:pPr>
              <w:pStyle w:val="Compact"/>
              <w:jc w:val="center"/>
            </w:pPr>
            <w:r>
              <w:t xml:space="preserve">低</w:t>
            </w:r>
          </w:p>
        </w:tc>
      </w:tr>
      <w:tr>
        <w:tc>
          <w:tcPr/>
          <w:p>
            <w:pPr>
              <w:pStyle w:val="Compact"/>
              <w:jc w:val="center"/>
            </w:pPr>
            <w:r>
              <w:t xml:space="preserve">P1</w:t>
            </w:r>
          </w:p>
        </w:tc>
        <w:tc>
          <w:tcPr/>
          <w:p>
            <w:pPr>
              <w:pStyle w:val="Compact"/>
              <w:jc w:val="left"/>
            </w:pPr>
            <w:r>
              <w:t xml:space="preserve">补偿金计算</w:t>
            </w:r>
          </w:p>
        </w:tc>
        <w:tc>
          <w:tcPr/>
          <w:p>
            <w:pPr>
              <w:pStyle w:val="Compact"/>
              <w:jc w:val="left"/>
            </w:pPr>
            <w:r>
              <w:t xml:space="preserve">本地JSON规则引擎 + 用户输入</w:t>
            </w:r>
          </w:p>
        </w:tc>
        <w:tc>
          <w:tcPr/>
          <w:p>
            <w:pPr>
              <w:pStyle w:val="Compact"/>
              <w:jc w:val="center"/>
            </w:pPr>
            <w:r>
              <w:t xml:space="preserve">无</w:t>
            </w:r>
          </w:p>
        </w:tc>
        <w:tc>
          <w:tcPr/>
          <w:p>
            <w:pPr>
              <w:pStyle w:val="Compact"/>
              <w:jc w:val="center"/>
            </w:pPr>
            <w:r>
              <w:t xml:space="preserve">中</w:t>
            </w:r>
          </w:p>
        </w:tc>
      </w:tr>
      <w:tr>
        <w:tc>
          <w:tcPr/>
          <w:p>
            <w:pPr>
              <w:pStyle w:val="Compact"/>
              <w:jc w:val="center"/>
            </w:pPr>
            <w:r>
              <w:t xml:space="preserve">P1</w:t>
            </w:r>
          </w:p>
        </w:tc>
        <w:tc>
          <w:tcPr/>
          <w:p>
            <w:pPr>
              <w:pStyle w:val="Compact"/>
              <w:jc w:val="left"/>
            </w:pPr>
            <w:r>
              <w:t xml:space="preserve">文书模板生成</w:t>
            </w:r>
          </w:p>
        </w:tc>
        <w:tc>
          <w:tcPr/>
          <w:p>
            <w:pPr>
              <w:pStyle w:val="Compact"/>
              <w:jc w:val="left"/>
            </w:pPr>
            <w:r>
              <w:t xml:space="preserve">大模型 + 模板填充 + JSON Schema</w:t>
            </w:r>
          </w:p>
        </w:tc>
        <w:tc>
          <w:tcPr/>
          <w:p>
            <w:pPr>
              <w:pStyle w:val="Compact"/>
              <w:jc w:val="center"/>
            </w:pPr>
            <w:r>
              <w:t xml:space="preserve">高</w:t>
            </w:r>
          </w:p>
        </w:tc>
        <w:tc>
          <w:tcPr/>
          <w:p>
            <w:pPr>
              <w:pStyle w:val="Compact"/>
              <w:jc w:val="center"/>
            </w:pPr>
            <w:r>
              <w:t xml:space="preserve">中</w:t>
            </w:r>
          </w:p>
        </w:tc>
      </w:tr>
      <w:tr>
        <w:tc>
          <w:tcPr/>
          <w:p>
            <w:pPr>
              <w:pStyle w:val="Compact"/>
              <w:jc w:val="center"/>
            </w:pPr>
            <w:r>
              <w:t xml:space="preserve">P1</w:t>
            </w:r>
          </w:p>
        </w:tc>
        <w:tc>
          <w:tcPr/>
          <w:p>
            <w:pPr>
              <w:pStyle w:val="Compact"/>
              <w:jc w:val="left"/>
            </w:pPr>
            <w:r>
              <w:t xml:space="preserve">地区差异提示</w:t>
            </w:r>
          </w:p>
        </w:tc>
        <w:tc>
          <w:tcPr/>
          <w:p>
            <w:pPr>
              <w:pStyle w:val="Compact"/>
              <w:jc w:val="left"/>
            </w:pPr>
            <w:r>
              <w:t xml:space="preserve">通用规则 + 用户自助输入</w:t>
            </w:r>
          </w:p>
        </w:tc>
        <w:tc>
          <w:tcPr/>
          <w:p>
            <w:pPr>
              <w:pStyle w:val="Compact"/>
              <w:jc w:val="center"/>
            </w:pPr>
            <w:r>
              <w:t xml:space="preserve">低</w:t>
            </w:r>
          </w:p>
        </w:tc>
        <w:tc>
          <w:tcPr/>
          <w:p>
            <w:pPr>
              <w:pStyle w:val="Compact"/>
              <w:jc w:val="center"/>
            </w:pPr>
            <w:r>
              <w:t xml:space="preserve">低</w:t>
            </w:r>
          </w:p>
        </w:tc>
      </w:tr>
      <w:tr>
        <w:tc>
          <w:tcPr/>
          <w:p>
            <w:pPr>
              <w:pStyle w:val="Compact"/>
              <w:jc w:val="center"/>
            </w:pPr>
            <w:r>
              <w:t xml:space="preserve">P2</w:t>
            </w:r>
          </w:p>
        </w:tc>
        <w:tc>
          <w:tcPr/>
          <w:p>
            <w:pPr>
              <w:pStyle w:val="Compact"/>
              <w:jc w:val="left"/>
            </w:pPr>
            <w:r>
              <w:t xml:space="preserve">实时法规更新</w:t>
            </w:r>
          </w:p>
        </w:tc>
        <w:tc>
          <w:tcPr/>
          <w:p>
            <w:pPr>
              <w:pStyle w:val="Compact"/>
              <w:jc w:val="left"/>
            </w:pPr>
            <w:r>
              <w:t xml:space="preserve">Prompt日期注入 + 季度手动更新</w:t>
            </w:r>
          </w:p>
        </w:tc>
        <w:tc>
          <w:tcPr/>
          <w:p>
            <w:pPr>
              <w:pStyle w:val="Compact"/>
              <w:jc w:val="center"/>
            </w:pPr>
            <w:r>
              <w:t xml:space="preserve">中</w:t>
            </w:r>
          </w:p>
        </w:tc>
        <w:tc>
          <w:tcPr/>
          <w:p>
            <w:pPr>
              <w:pStyle w:val="Compact"/>
              <w:jc w:val="center"/>
            </w:pPr>
            <w:r>
              <w:t xml:space="preserve">中</w:t>
            </w:r>
          </w:p>
        </w:tc>
      </w:tr>
      <w:tr>
        <w:tc>
          <w:tcPr/>
          <w:p>
            <w:pPr>
              <w:pStyle w:val="Compact"/>
              <w:jc w:val="center"/>
            </w:pPr>
            <w:r>
              <w:t xml:space="preserve">P2</w:t>
            </w:r>
          </w:p>
        </w:tc>
        <w:tc>
          <w:tcPr/>
          <w:p>
            <w:pPr>
              <w:pStyle w:val="Compact"/>
              <w:jc w:val="left"/>
            </w:pPr>
            <w:r>
              <w:t xml:space="preserve">律师转介</w:t>
            </w:r>
          </w:p>
        </w:tc>
        <w:tc>
          <w:tcPr/>
          <w:p>
            <w:pPr>
              <w:pStyle w:val="Compact"/>
              <w:jc w:val="left"/>
            </w:pPr>
            <w:r>
              <w:t xml:space="preserve">律师网络 + 技术服务费模式</w:t>
            </w:r>
          </w:p>
        </w:tc>
        <w:tc>
          <w:tcPr/>
          <w:p>
            <w:pPr>
              <w:pStyle w:val="Compact"/>
              <w:jc w:val="center"/>
            </w:pPr>
            <w:r>
              <w:t xml:space="preserve">无</w:t>
            </w:r>
          </w:p>
        </w:tc>
        <w:tc>
          <w:tcPr/>
          <w:p>
            <w:pPr>
              <w:pStyle w:val="Compact"/>
              <w:jc w:val="center"/>
            </w:pPr>
            <w:r>
              <w:t xml:space="preserve">高</w:t>
            </w:r>
          </w:p>
        </w:tc>
      </w:tr>
      <w:tr>
        <w:tc>
          <w:tcPr/>
          <w:p>
            <w:pPr>
              <w:pStyle w:val="Compact"/>
              <w:jc w:val="center"/>
            </w:pPr>
            <w:r>
              <w:t xml:space="preserve">P2</w:t>
            </w:r>
          </w:p>
        </w:tc>
        <w:tc>
          <w:tcPr/>
          <w:p>
            <w:pPr>
              <w:pStyle w:val="Compact"/>
              <w:jc w:val="left"/>
            </w:pPr>
            <w:r>
              <w:t xml:space="preserve">社区功能</w:t>
            </w:r>
          </w:p>
        </w:tc>
        <w:tc>
          <w:tcPr/>
          <w:p>
            <w:pPr>
              <w:pStyle w:val="Compact"/>
              <w:jc w:val="left"/>
            </w:pPr>
            <w:r>
              <w:t xml:space="preserve">UGC平台 + 内容审核</w:t>
            </w:r>
          </w:p>
        </w:tc>
        <w:tc>
          <w:tcPr/>
          <w:p>
            <w:pPr>
              <w:pStyle w:val="Compact"/>
              <w:jc w:val="center"/>
            </w:pPr>
            <w:r>
              <w:t xml:space="preserve">低</w:t>
            </w:r>
          </w:p>
        </w:tc>
        <w:tc>
          <w:tcPr/>
          <w:p>
            <w:pPr>
              <w:pStyle w:val="Compact"/>
              <w:jc w:val="center"/>
            </w:pPr>
            <w:r>
              <w:t xml:space="preserve">中</w:t>
            </w:r>
          </w:p>
        </w:tc>
      </w:tr>
    </w:tbl>
    <w:p>
      <w:pPr>
        <w:pStyle w:val="BodyText"/>
      </w:pPr>
      <w:r>
        <w:t xml:space="preserve">上述排序遵循三个原则：P0功能均在纯前端实现，消除数据合规风险</w:t>
      </w:r>
      <w:fldSimple w:instr="NOTEREF _Ref_Footnote_7 \h \f">
        <w:r>
          <w:rPr>
            <w:vertAlign w:val="superscript"/>
          </w:rPr>
          <w:t>7</w:t>
        </w:r>
      </w:fldSimple>
      <w:r>
        <w:t xml:space="preserve">；高模型依赖功能安排在P1，待核心交互验证后再投入Prompt优化；所有法律意见输出配置三层防护（Prompt级约束 + 输出验证 + 用户免责声明），可将幻觉率降低55-74%</w:t>
      </w:r>
      <w:fldSimple w:instr="NOTEREF _Ref_Footnote_21 \h \f">
        <w:r>
          <w:rPr>
            <w:vertAlign w:val="superscript"/>
          </w:rPr>
          <w:t>21</w:t>
        </w:r>
      </w:fldSimple>
      <w:r>
        <w:t xml:space="preserve"> </w:t>
      </w:r>
      <w:fldSimple w:instr="NOTEREF _Ref_Footnote_22 \h \f">
        <w:r>
          <w:rPr>
            <w:vertAlign w:val="superscript"/>
          </w:rPr>
          <w:t>22</w:t>
        </w:r>
      </w:fldSimple>
      <w:r>
        <w:t xml:space="preserve">。</w:t>
      </w:r>
    </w:p>
    <w:bookmarkEnd w:id="97"/>
    <w:bookmarkEnd w:id="98"/>
    <w:bookmarkStart w:id="106" w:name="技术实施路径"/>
    <w:p>
      <w:pPr>
        <w:pStyle w:val="Heading3"/>
      </w:pPr>
      <w:r>
        <w:t xml:space="preserve">6.2 技术实施路径</w:t>
      </w:r>
    </w:p>
    <w:p>
      <w:pPr>
        <w:pStyle w:val="FirstParagraph"/>
      </w:pPr>
      <w:r>
        <w:t xml:space="preserve">MVP遵循”先验证、后生产、再迭代、终规模化”的四阶段递进逻辑。图6-1展示了6个月完整实施路线图。</w:t>
      </w:r>
    </w:p>
    <w:p>
      <w:pPr>
        <w:pStyle w:val="CaptionedFigure"/>
      </w:pPr>
      <w:r>
        <w:drawing>
          <wp:inline>
            <wp:extent cx="5334000" cy="3182100"/>
            <wp:effectExtent b="0" l="0" r="0" t="0"/>
            <wp:docPr descr="MVP四阶段实施路线图" title="" id="100" name="Picture"/>
            <a:graphic>
              <a:graphicData uri="http://schemas.openxmlformats.org/drawingml/2006/picture">
                <pic:pic>
                  <pic:nvPicPr>
                    <pic:cNvPr descr="labor_arb_chart_roadmap.png" id="101" name="Picture"/>
                    <pic:cNvPicPr>
                      <a:picLocks noChangeArrowheads="1" noChangeAspect="1"/>
                    </pic:cNvPicPr>
                  </pic:nvPicPr>
                  <pic:blipFill>
                    <a:blip r:embed="rId99"/>
                    <a:stretch>
                      <a:fillRect/>
                    </a:stretch>
                  </pic:blipFill>
                  <pic:spPr bwMode="auto">
                    <a:xfrm>
                      <a:off x="0" y="0"/>
                      <a:ext cx="5334000" cy="3182100"/>
                    </a:xfrm>
                    <a:prstGeom prst="rect">
                      <a:avLst/>
                    </a:prstGeom>
                    <a:noFill/>
                    <a:ln w="9525">
                      <a:noFill/>
                      <a:headEnd/>
                      <a:tailEnd/>
                    </a:ln>
                  </pic:spPr>
                </pic:pic>
              </a:graphicData>
            </a:graphic>
          </wp:inline>
        </w:drawing>
      </w:r>
    </w:p>
    <w:p>
      <w:pPr>
        <w:pStyle w:val="ImageCaption"/>
      </w:pPr>
      <w:r>
        <w:t xml:space="preserve">MVP四阶段实施路线图</w:t>
      </w:r>
    </w:p>
    <w:p>
      <w:pPr>
        <w:pStyle w:val="BodyText"/>
      </w:pPr>
      <w:r>
        <w:rPr>
          <w:bCs/>
          <w:b/>
        </w:rPr>
        <w:t xml:space="preserve">图6-1 MVP四阶段实施路线图</w:t>
      </w:r>
      <w:r>
        <w:t xml:space="preserve"> </w:t>
      </w:r>
      <w:r>
        <w:rPr>
          <w:iCs/>
          <w:i/>
        </w:rPr>
        <w:t xml:space="preserve">数据来源：基于技术架构研究（维度9）和商业模式研究（维度8）综合绘制</w:t>
      </w:r>
    </w:p>
    <w:bookmarkStart w:id="102" w:name="第一阶段week-1-2快速原型"/>
    <w:p>
      <w:pPr>
        <w:pStyle w:val="Heading4"/>
      </w:pPr>
      <w:r>
        <w:t xml:space="preserve">6.2.1 第一阶段（Week 1-2）：快速原型</w:t>
      </w:r>
    </w:p>
    <w:p>
      <w:pPr>
        <w:pStyle w:val="FirstParagraph"/>
      </w:pPr>
      <w:r>
        <w:t xml:space="preserve">目标是在48小时内构建可交互原型，验证核心假设。技术栈采用</w:t>
      </w:r>
      <w:r>
        <w:rPr>
          <w:bCs/>
          <w:b/>
        </w:rPr>
        <w:t xml:space="preserve">Gradio</w:t>
      </w:r>
      <w:r>
        <w:t xml:space="preserve">（3行代码启动</w:t>
      </w:r>
      <w:r>
        <w:rPr>
          <w:vertAlign w:val="superscript"/>
        </w:rPr>
        <w:footnoteReference w:id="138"/>
      </w:r>
      <w:r>
        <w:t xml:space="preserve">）部署于</w:t>
      </w:r>
      <w:r>
        <w:rPr>
          <w:bCs/>
          <w:b/>
        </w:rPr>
        <w:t xml:space="preserve">Hugging Face Spaces</w:t>
      </w:r>
      <w:r>
        <w:t xml:space="preserve">（2核16GB CPU免费服务器</w:t>
      </w:r>
      <w:fldSimple w:instr="NOTEREF _Ref_Footnote_94 \h \f">
        <w:r>
          <w:rPr>
            <w:vertAlign w:val="superscript"/>
          </w:rPr>
          <w:t>94</w:t>
        </w:r>
      </w:fldSimple>
      <w:r>
        <w:t xml:space="preserve">）。模型层使用</w:t>
      </w:r>
      <w:r>
        <w:rPr>
          <w:bCs/>
          <w:b/>
        </w:rPr>
        <w:t xml:space="preserve">Gemini 2.5 Flash-Lite免费层</w:t>
      </w:r>
      <w:r>
        <w:t xml:space="preserve">（15 RPM，1000 RPD</w:t>
      </w:r>
      <w:r>
        <w:rPr>
          <w:vertAlign w:val="superscript"/>
        </w:rPr>
        <w:footnoteReference w:id="139"/>
      </w:r>
      <w:r>
        <w:t xml:space="preserve">）或</w:t>
      </w:r>
      <w:r>
        <w:rPr>
          <w:bCs/>
          <w:b/>
        </w:rPr>
        <w:t xml:space="preserve">DeepSeek免费层</w:t>
      </w:r>
      <w:r>
        <w:t xml:space="preserve">（500万token</w:t>
      </w:r>
      <w:fldSimple w:instr="NOTEREF _Ref_Footnote_18 \h \f">
        <w:r>
          <w:rPr>
            <w:vertAlign w:val="superscript"/>
          </w:rPr>
          <w:t>18</w:t>
        </w:r>
      </w:fldSimple>
      <w:r>
        <w:t xml:space="preserve">），均无需信用卡即可开通。两者中文法律领域表现足以支撑MVP需求——DeepSeek在中文推理任务上表现优异</w:t>
      </w:r>
      <w:r>
        <w:rPr>
          <w:vertAlign w:val="superscript"/>
        </w:rPr>
        <w:footnoteReference w:id="140"/>
      </w:r>
      <w:r>
        <w:t xml:space="preserve">，Gemini则以1M token的上下文窗口适合长文书生成场景。原型阶段的核心任务是完成Prompt工程基础框架：定义系统角色（</w:t>
      </w:r>
      <w:r>
        <w:t xml:space="preserve">“</w:t>
      </w:r>
      <w:r>
        <w:t xml:space="preserve">你是一名专业的劳动法律顾问</w:t>
      </w:r>
      <w:r>
        <w:t xml:space="preserve">”</w:t>
      </w:r>
      <w:r>
        <w:t xml:space="preserve">）、建立JSON Schema输出约束、植入日期注入（</w:t>
      </w:r>
      <w:r>
        <w:t xml:space="preserve">“</w:t>
      </w:r>
      <w:r>
        <w:t xml:space="preserve">今天是2026年X月X日，我的知识截止日期为2025年4月</w:t>
      </w:r>
      <w:r>
        <w:t xml:space="preserve">”</w:t>
      </w:r>
      <w:r>
        <w:t xml:space="preserve">）和标准化免责声明。研究表明仅改进Prompt结构即可将幻觉率降低30-50%</w:t>
      </w:r>
      <w:fldSimple w:instr="NOTEREF _Ref_Footnote_22 \h \f">
        <w:r>
          <w:rPr>
            <w:vertAlign w:val="superscript"/>
          </w:rPr>
          <w:t>22</w:t>
        </w:r>
      </w:fldSimple>
      <w:r>
        <w:t xml:space="preserve">，是MVP阶段最经济有效的质量保障手段。</w:t>
      </w:r>
    </w:p>
    <w:bookmarkEnd w:id="102"/>
    <w:bookmarkStart w:id="103" w:name="第二阶段week-3-4生产mvp"/>
    <w:p>
      <w:pPr>
        <w:pStyle w:val="Heading4"/>
      </w:pPr>
      <w:r>
        <w:t xml:space="preserve">6.2.2 第二阶段（Week 3-4）：生产MVP</w:t>
      </w:r>
    </w:p>
    <w:p>
      <w:pPr>
        <w:pStyle w:val="FirstParagraph"/>
      </w:pPr>
      <w:r>
        <w:t xml:space="preserve">技术栈升级为</w:t>
      </w:r>
      <w:r>
        <w:rPr>
          <w:bCs/>
          <w:b/>
        </w:rPr>
        <w:t xml:space="preserve">Next.js + Vercel AI SDK</w:t>
      </w:r>
      <w:r>
        <w:t xml:space="preserve">。Next.js提供服务器端渲染（SEO友好）和CDN加速；Vercel AI SDK统一API接口，支持一键切换模型</w:t>
      </w:r>
      <w:fldSimple w:instr="NOTEREF _Ref_Footnote_20 \h \f">
        <w:r>
          <w:rPr>
            <w:vertAlign w:val="superscript"/>
          </w:rPr>
          <w:t>20</w:t>
        </w:r>
      </w:fldSimple>
      <w:r>
        <w:t xml:space="preserve">。纯前端架构下用户数据通过</w:t>
      </w:r>
      <w:r>
        <w:rPr>
          <w:bCs/>
          <w:b/>
        </w:rPr>
        <w:t xml:space="preserve">客户端加密（AES-GCM）+ localStorage</w:t>
      </w:r>
      <w:r>
        <w:t xml:space="preserve">存储，消除服务端数据合规风险</w:t>
      </w:r>
      <w:fldSimple w:instr="NOTEREF _Ref_Footnote_7 \h \f">
        <w:r>
          <w:rPr>
            <w:vertAlign w:val="superscript"/>
          </w:rPr>
          <w:t>7</w:t>
        </w:r>
      </w:fldSimple>
      <w:r>
        <w:t xml:space="preserve">。</w:t>
      </w:r>
    </w:p>
    <w:p>
      <w:pPr>
        <w:pStyle w:val="BodyText"/>
      </w:pPr>
      <w:r>
        <w:t xml:space="preserve">核心工作流采用简化版Plan-and-Execute架构</w:t>
      </w:r>
      <w:r>
        <w:rPr>
          <w:vertAlign w:val="superscript"/>
        </w:rPr>
        <w:footnoteReference w:id="141"/>
      </w:r>
      <w:r>
        <w:t xml:space="preserve">：意图识别 → 信息补全 → 法律分析 → 输出生成，每Step为独立LLM调用，Step间通过结构化JSON传递数据。此架构适合劳动仲裁这类结构化、可预见的任务，相比ReAct模式的”思考→行动→观察”循环具有更高的成本可控性和输出可预测性。上下文管理采用</w:t>
      </w:r>
      <w:r>
        <w:rPr>
          <w:bCs/>
          <w:b/>
        </w:rPr>
        <w:t xml:space="preserve">结构化信息提取</w:t>
      </w:r>
      <w:r>
        <w:t xml:space="preserve">方案——将对话核心信息提取为JSON（当事人信息、争议焦点、已确认事项）替代非结构化历史，压缩比极致且无幻觉风险</w:t>
      </w:r>
      <w:r>
        <w:rPr>
          <w:vertAlign w:val="superscript"/>
        </w:rPr>
        <w:footnoteReference w:id="142"/>
      </w:r>
      <w:r>
        <w:t xml:space="preserve">。相比滑动窗口方案（保留最近5-10轮对话直接丢弃超出部分），结构化提取更适合法律文书场景的长对话需求。</w:t>
      </w:r>
    </w:p>
    <w:bookmarkEnd w:id="103"/>
    <w:bookmarkStart w:id="104" w:name="第三阶段month-2-3功能迭代"/>
    <w:p>
      <w:pPr>
        <w:pStyle w:val="Heading4"/>
      </w:pPr>
      <w:r>
        <w:t xml:space="preserve">6.2.3 第三阶段（Month 2-3）：功能迭代</w:t>
      </w:r>
    </w:p>
    <w:p>
      <w:pPr>
        <w:pStyle w:val="FirstParagraph"/>
      </w:pPr>
      <w:r>
        <w:rPr>
          <w:bCs/>
          <w:b/>
        </w:rPr>
        <w:t xml:space="preserve">补偿金计算器</w:t>
      </w:r>
      <w:r>
        <w:t xml:space="preserve">采用本地JSON规则引擎，覆盖至少10个核心城市的最低工资标准和社平工资数据。计算场景包括经济补偿金（按工作年限×月工资，上限为当地社平工资3倍）、违法解除赔偿金（2N）、未签劳动合同二倍工资差额、加班费（1.5x/2x/3x对应不同时段）等。所在地数据缺失时回退至全国通用规则并标注”数据置信度：中”。</w:t>
      </w:r>
      <w:r>
        <w:rPr>
          <w:bCs/>
          <w:b/>
        </w:rPr>
        <w:t xml:space="preserve">证据清单生成器</w:t>
      </w:r>
      <w:r>
        <w:t xml:space="preserve">参考幂律智能”吾律”的引导式采集实践</w:t>
      </w:r>
      <w:fldSimple w:instr="NOTEREF _Ref_Footnote_55 \h \f">
        <w:r>
          <w:rPr>
            <w:vertAlign w:val="superscript"/>
          </w:rPr>
          <w:t>55</w:t>
        </w:r>
      </w:fldSimple>
      <w:r>
        <w:t xml:space="preserve">，将复杂法律事务拆解为可追踪的子任务节点</w:t>
      </w:r>
      <w:fldSimple w:instr="NOTEREF _Ref_Footnote_67 \h \f">
        <w:r>
          <w:rPr>
            <w:vertAlign w:val="superscript"/>
          </w:rPr>
          <w:t>67</w:t>
        </w:r>
      </w:fldSimple>
      <w:r>
        <w:t xml:space="preserve">，每个节点标注证明目的和关联性分析。</w:t>
      </w:r>
      <w:r>
        <w:rPr>
          <w:bCs/>
          <w:b/>
        </w:rPr>
        <w:t xml:space="preserve">文书模板</w:t>
      </w:r>
      <w:r>
        <w:t xml:space="preserve">引入Few-Shot Prompting技术——在Prompt中嵌入2-3个高质量示例（覆盖未签合同、拖欠工资、违法解除等典型场景）提升输出质量</w:t>
      </w:r>
      <w:fldSimple w:instr="NOTEREF _Ref_Footnote_84 \h \f">
        <w:r>
          <w:rPr>
            <w:vertAlign w:val="superscript"/>
          </w:rPr>
          <w:t>84</w:t>
        </w:r>
      </w:fldSimple>
      <w:r>
        <w:t xml:space="preserve">，并增加法条格式检查（验证法条编号格式是否正确）和金额合理性校验层。</w:t>
      </w:r>
    </w:p>
    <w:bookmarkEnd w:id="104"/>
    <w:bookmarkStart w:id="105" w:name="第四阶段month-3-6规模化"/>
    <w:p>
      <w:pPr>
        <w:pStyle w:val="Heading4"/>
      </w:pPr>
      <w:r>
        <w:t xml:space="preserve">6.2.4 第四阶段（Month 3-6）：规模化</w:t>
      </w:r>
    </w:p>
    <w:p>
      <w:pPr>
        <w:pStyle w:val="FirstParagraph"/>
      </w:pPr>
      <w:r>
        <w:rPr>
          <w:bCs/>
          <w:b/>
        </w:rPr>
        <w:t xml:space="preserve">SEO优化</w:t>
      </w:r>
      <w:r>
        <w:t xml:space="preserve">是C端获客核心——每天5600万用户在百度搜索法律知识</w:t>
      </w:r>
      <w:fldSimple w:instr="NOTEREF _Ref_Footnote_111 \h \f">
        <w:r>
          <w:rPr>
            <w:vertAlign w:val="superscript"/>
          </w:rPr>
          <w:t>111</w:t>
        </w:r>
      </w:fldSimple>
      <w:r>
        <w:t xml:space="preserve">，产品应针对每个问题类型构建独立着陆页（</w:t>
      </w:r>
      <w:r>
        <w:t xml:space="preserve">“</w:t>
      </w:r>
      <w:r>
        <w:t xml:space="preserve">被公司辞退了怎么办</w:t>
      </w:r>
      <w:r>
        <w:t xml:space="preserve">”</w:t>
      </w:r>
      <w:r>
        <w:t xml:space="preserve">、</w:t>
      </w:r>
      <w:r>
        <w:t xml:space="preserve">“</w:t>
      </w:r>
      <w:r>
        <w:t xml:space="preserve">经济补偿金怎么算</w:t>
      </w:r>
      <w:r>
        <w:t xml:space="preserve">”</w:t>
      </w:r>
      <w:r>
        <w:t xml:space="preserve">、</w:t>
      </w:r>
      <w:r>
        <w:t xml:space="preserve">“</w:t>
      </w:r>
      <w:r>
        <w:t xml:space="preserve">劳动仲裁流程</w:t>
      </w:r>
      <w:r>
        <w:t xml:space="preserve">”</w:t>
      </w:r>
      <w:r>
        <w:t xml:space="preserve">等高搜索量关键词）。Next.js的服务器端渲染能力对此至关重要，相比客户端渲染的SPA页面，SSR的搜索引擎可索引性显著提升。</w:t>
      </w:r>
      <w:r>
        <w:rPr>
          <w:bCs/>
          <w:b/>
        </w:rPr>
        <w:t xml:space="preserve">律师网络建设</w:t>
      </w:r>
      <w:r>
        <w:t xml:space="preserve">聚焦青年律师（案源焦虑55.87%[^dim04^]），产品内置”律师审核”和”律师转介”两个节点，将高意向用户自然导流至律师服务。律师合作采用”内容供应链”模式——律师审核AI生成内容并署名，获得内容曝光和精准案源双重激励。</w:t>
      </w:r>
      <w:r>
        <w:rPr>
          <w:bCs/>
          <w:b/>
        </w:rPr>
        <w:t xml:space="preserve">B端企业版</w:t>
      </w:r>
      <w:r>
        <w:t xml:space="preserve">基于C端积累的数据洞察提供HR合规风险评估，企业劳动争议败诉率高达70%以上</w:t>
      </w:r>
      <w:fldSimple w:instr="NOTEREF _Ref_Footnote_28 \h \f">
        <w:r>
          <w:rPr>
            <w:vertAlign w:val="superscript"/>
          </w:rPr>
          <w:t>28</w:t>
        </w:r>
      </w:fldSimple>
      <w:r>
        <w:t xml:space="preserve"> </w:t>
      </w:r>
      <w:r>
        <w:rPr>
          <w:vertAlign w:val="superscript"/>
        </w:rPr>
        <w:footnoteReference w:id="143"/>
      </w:r>
      <w:r>
        <w:t xml:space="preserve">，中小企业标准化、低成本的合规产品是市场空白</w:t>
      </w:r>
      <w:fldSimple w:instr="NOTEREF _Ref_Footnote_112 \h \f">
        <w:r>
          <w:rPr>
            <w:vertAlign w:val="superscript"/>
          </w:rPr>
          <w:t>112</w:t>
        </w:r>
      </w:fldSimple>
      <w:r>
        <w:t xml:space="preserve">。</w:t>
      </w:r>
    </w:p>
    <w:p>
      <w:pPr>
        <w:pStyle w:val="BodyText"/>
      </w:pPr>
      <w:r>
        <w:t xml:space="preserve">下表对比四阶段技术选型与成本结构：</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第一阶段（原型）</w:t>
            </w:r>
          </w:p>
        </w:tc>
        <w:tc>
          <w:tcPr/>
          <w:p>
            <w:pPr>
              <w:pStyle w:val="Compact"/>
              <w:jc w:val="left"/>
            </w:pPr>
            <w:r>
              <w:t xml:space="preserve">第二阶段（生产MVP）</w:t>
            </w:r>
          </w:p>
        </w:tc>
        <w:tc>
          <w:tcPr/>
          <w:p>
            <w:pPr>
              <w:pStyle w:val="Compact"/>
              <w:jc w:val="left"/>
            </w:pPr>
            <w:r>
              <w:t xml:space="preserve">第三阶段（迭代）</w:t>
            </w:r>
          </w:p>
        </w:tc>
        <w:tc>
          <w:tcPr/>
          <w:p>
            <w:pPr>
              <w:pStyle w:val="Compact"/>
              <w:jc w:val="left"/>
            </w:pPr>
            <w:r>
              <w:t xml:space="preserve">第四阶段（规模化）</w:t>
            </w:r>
          </w:p>
        </w:tc>
      </w:tr>
      <w:tr>
        <w:tc>
          <w:tcPr/>
          <w:p>
            <w:pPr>
              <w:pStyle w:val="Compact"/>
              <w:jc w:val="left"/>
            </w:pPr>
            <w:r>
              <w:rPr>
                <w:bCs/>
                <w:b/>
              </w:rPr>
              <w:t xml:space="preserve">时间</w:t>
            </w:r>
          </w:p>
        </w:tc>
        <w:tc>
          <w:tcPr/>
          <w:p>
            <w:pPr>
              <w:pStyle w:val="Compact"/>
              <w:jc w:val="left"/>
            </w:pPr>
            <w:r>
              <w:t xml:space="preserve">Week 1-2</w:t>
            </w:r>
          </w:p>
        </w:tc>
        <w:tc>
          <w:tcPr/>
          <w:p>
            <w:pPr>
              <w:pStyle w:val="Compact"/>
              <w:jc w:val="left"/>
            </w:pPr>
            <w:r>
              <w:t xml:space="preserve">Week 3-4</w:t>
            </w:r>
          </w:p>
        </w:tc>
        <w:tc>
          <w:tcPr/>
          <w:p>
            <w:pPr>
              <w:pStyle w:val="Compact"/>
              <w:jc w:val="left"/>
            </w:pPr>
            <w:r>
              <w:t xml:space="preserve">Month 2-3</w:t>
            </w:r>
          </w:p>
        </w:tc>
        <w:tc>
          <w:tcPr/>
          <w:p>
            <w:pPr>
              <w:pStyle w:val="Compact"/>
              <w:jc w:val="left"/>
            </w:pPr>
            <w:r>
              <w:t xml:space="preserve">Month 3-6</w:t>
            </w:r>
          </w:p>
        </w:tc>
      </w:tr>
      <w:tr>
        <w:tc>
          <w:tcPr/>
          <w:p>
            <w:pPr>
              <w:pStyle w:val="Compact"/>
              <w:jc w:val="left"/>
            </w:pPr>
            <w:r>
              <w:rPr>
                <w:bCs/>
                <w:b/>
              </w:rPr>
              <w:t xml:space="preserve">前端框架</w:t>
            </w:r>
          </w:p>
        </w:tc>
        <w:tc>
          <w:tcPr/>
          <w:p>
            <w:pPr>
              <w:pStyle w:val="Compact"/>
              <w:jc w:val="left"/>
            </w:pPr>
            <w:r>
              <w:t xml:space="preserve">Gradio/Streamlit</w:t>
            </w:r>
          </w:p>
        </w:tc>
        <w:tc>
          <w:tcPr/>
          <w:p>
            <w:pPr>
              <w:pStyle w:val="Compact"/>
              <w:jc w:val="left"/>
            </w:pPr>
            <w:r>
              <w:t xml:space="preserve">Next.js + Vercel</w:t>
            </w:r>
          </w:p>
        </w:tc>
        <w:tc>
          <w:tcPr/>
          <w:p>
            <w:pPr>
              <w:pStyle w:val="Compact"/>
              <w:jc w:val="left"/>
            </w:pPr>
            <w:r>
              <w:t xml:space="preserve">Next.js + Vercel</w:t>
            </w:r>
          </w:p>
        </w:tc>
        <w:tc>
          <w:tcPr/>
          <w:p>
            <w:pPr>
              <w:pStyle w:val="Compact"/>
              <w:jc w:val="left"/>
            </w:pPr>
            <w:r>
              <w:t xml:space="preserve">Next.js + Analytics</w:t>
            </w:r>
          </w:p>
        </w:tc>
      </w:tr>
      <w:tr>
        <w:tc>
          <w:tcPr/>
          <w:p>
            <w:pPr>
              <w:pStyle w:val="Compact"/>
              <w:jc w:val="left"/>
            </w:pPr>
            <w:r>
              <w:rPr>
                <w:bCs/>
                <w:b/>
              </w:rPr>
              <w:t xml:space="preserve">AI SDK</w:t>
            </w:r>
          </w:p>
        </w:tc>
        <w:tc>
          <w:tcPr/>
          <w:p>
            <w:pPr>
              <w:pStyle w:val="Compact"/>
              <w:jc w:val="left"/>
            </w:pPr>
            <w:r>
              <w:t xml:space="preserve">直接HTTP调用</w:t>
            </w:r>
          </w:p>
        </w:tc>
        <w:tc>
          <w:tcPr/>
          <w:p>
            <w:pPr>
              <w:pStyle w:val="Compact"/>
              <w:jc w:val="left"/>
            </w:pPr>
            <w:r>
              <w:t xml:space="preserve">Vercel AI SDK</w:t>
            </w:r>
          </w:p>
        </w:tc>
        <w:tc>
          <w:tcPr/>
          <w:p>
            <w:pPr>
              <w:pStyle w:val="Compact"/>
              <w:jc w:val="left"/>
            </w:pPr>
            <w:r>
              <w:t xml:space="preserve">Vercel AI SDK</w:t>
            </w:r>
          </w:p>
        </w:tc>
        <w:tc>
          <w:tcPr/>
          <w:p>
            <w:pPr>
              <w:pStyle w:val="Compact"/>
              <w:jc w:val="left"/>
            </w:pPr>
            <w:r>
              <w:t xml:space="preserve">多模型动态路由</w:t>
            </w:r>
          </w:p>
        </w:tc>
      </w:tr>
      <w:tr>
        <w:tc>
          <w:tcPr/>
          <w:p>
            <w:pPr>
              <w:pStyle w:val="Compact"/>
              <w:jc w:val="left"/>
            </w:pPr>
            <w:r>
              <w:rPr>
                <w:bCs/>
                <w:b/>
              </w:rPr>
              <w:t xml:space="preserve">主模型</w:t>
            </w:r>
          </w:p>
        </w:tc>
        <w:tc>
          <w:tcPr/>
          <w:p>
            <w:pPr>
              <w:pStyle w:val="Compact"/>
              <w:jc w:val="left"/>
            </w:pPr>
            <w:r>
              <w:t xml:space="preserve">Gemini/DeepSeek免费层</w:t>
            </w:r>
          </w:p>
        </w:tc>
        <w:tc>
          <w:tcPr/>
          <w:p>
            <w:pPr>
              <w:pStyle w:val="Compact"/>
              <w:jc w:val="left"/>
            </w:pPr>
            <w:r>
              <w:t xml:space="preserve">DeepSeek V3.2 + 备用</w:t>
            </w:r>
          </w:p>
        </w:tc>
        <w:tc>
          <w:tcPr/>
          <w:p>
            <w:pPr>
              <w:pStyle w:val="Compact"/>
              <w:jc w:val="left"/>
            </w:pPr>
            <w:r>
              <w:t xml:space="preserve">多模型切换</w:t>
            </w:r>
          </w:p>
        </w:tc>
        <w:tc>
          <w:tcPr/>
          <w:p>
            <w:pPr>
              <w:pStyle w:val="Compact"/>
              <w:jc w:val="left"/>
            </w:pPr>
            <w:r>
              <w:t xml:space="preserve">动态路由</w:t>
            </w:r>
          </w:p>
        </w:tc>
      </w:tr>
      <w:tr>
        <w:tc>
          <w:tcPr/>
          <w:p>
            <w:pPr>
              <w:pStyle w:val="Compact"/>
              <w:jc w:val="left"/>
            </w:pPr>
            <w:r>
              <w:rPr>
                <w:bCs/>
                <w:b/>
              </w:rPr>
              <w:t xml:space="preserve">部署平台</w:t>
            </w:r>
          </w:p>
        </w:tc>
        <w:tc>
          <w:tcPr/>
          <w:p>
            <w:pPr>
              <w:pStyle w:val="Compact"/>
              <w:jc w:val="left"/>
            </w:pPr>
            <w:r>
              <w:t xml:space="preserve">Hugging Face Spaces</w:t>
            </w:r>
          </w:p>
        </w:tc>
        <w:tc>
          <w:tcPr/>
          <w:p>
            <w:pPr>
              <w:pStyle w:val="Compact"/>
              <w:jc w:val="left"/>
            </w:pPr>
            <w:r>
              <w:t xml:space="preserve">Vercel（免费层）</w:t>
            </w:r>
          </w:p>
        </w:tc>
        <w:tc>
          <w:tcPr/>
          <w:p>
            <w:pPr>
              <w:pStyle w:val="Compact"/>
              <w:jc w:val="left"/>
            </w:pPr>
            <w:r>
              <w:t xml:space="preserve">Vercel + 自定义域名</w:t>
            </w:r>
          </w:p>
        </w:tc>
        <w:tc>
          <w:tcPr/>
          <w:p>
            <w:pPr>
              <w:pStyle w:val="Compact"/>
              <w:jc w:val="left"/>
            </w:pPr>
            <w:r>
              <w:t xml:space="preserve">Vercel + CDN</w:t>
            </w:r>
          </w:p>
        </w:tc>
      </w:tr>
      <w:tr>
        <w:tc>
          <w:tcPr/>
          <w:p>
            <w:pPr>
              <w:pStyle w:val="Compact"/>
              <w:jc w:val="left"/>
            </w:pPr>
            <w:r>
              <w:rPr>
                <w:bCs/>
                <w:b/>
              </w:rPr>
              <w:t xml:space="preserve">数据存储</w:t>
            </w:r>
          </w:p>
        </w:tc>
        <w:tc>
          <w:tcPr/>
          <w:p>
            <w:pPr>
              <w:pStyle w:val="Compact"/>
              <w:jc w:val="left"/>
            </w:pPr>
            <w:r>
              <w:t xml:space="preserve">无（会话级）</w:t>
            </w:r>
          </w:p>
        </w:tc>
        <w:tc>
          <w:tcPr/>
          <w:p>
            <w:pPr>
              <w:pStyle w:val="Compact"/>
              <w:jc w:val="left"/>
            </w:pPr>
            <w:r>
              <w:t xml:space="preserve">localStorage + 客户端加密</w:t>
            </w:r>
          </w:p>
        </w:tc>
        <w:tc>
          <w:tcPr/>
          <w:p>
            <w:pPr>
              <w:pStyle w:val="Compact"/>
              <w:jc w:val="left"/>
            </w:pPr>
            <w:r>
              <w:t xml:space="preserve">localStorage + 加密</w:t>
            </w:r>
          </w:p>
        </w:tc>
        <w:tc>
          <w:tcPr/>
          <w:p>
            <w:pPr>
              <w:pStyle w:val="Compact"/>
              <w:jc w:val="left"/>
            </w:pPr>
            <w:r>
              <w:t xml:space="preserve">Supabase（如需）</w:t>
            </w:r>
          </w:p>
        </w:tc>
      </w:tr>
      <w:tr>
        <w:tc>
          <w:tcPr/>
          <w:p>
            <w:pPr>
              <w:pStyle w:val="Compact"/>
              <w:jc w:val="left"/>
            </w:pPr>
            <w:r>
              <w:rPr>
                <w:bCs/>
                <w:b/>
              </w:rPr>
              <w:t xml:space="preserve">月运行成本</w:t>
            </w:r>
          </w:p>
        </w:tc>
        <w:tc>
          <w:tcPr/>
          <w:p>
            <w:pPr>
              <w:pStyle w:val="Compact"/>
              <w:jc w:val="left"/>
            </w:pPr>
            <w:r>
              <w:t xml:space="preserve">$0-5</w:t>
            </w:r>
          </w:p>
        </w:tc>
        <w:tc>
          <w:tcPr/>
          <w:p>
            <w:pPr>
              <w:pStyle w:val="Compact"/>
              <w:jc w:val="left"/>
            </w:pPr>
            <w:r>
              <w:t xml:space="preserve">$0-10</w:t>
            </w:r>
          </w:p>
        </w:tc>
        <w:tc>
          <w:tcPr/>
          <w:p>
            <w:pPr>
              <w:pStyle w:val="Compact"/>
              <w:jc w:val="left"/>
            </w:pPr>
            <w:r>
              <w:t xml:space="preserve">$5-20</w:t>
            </w:r>
          </w:p>
        </w:tc>
        <w:tc>
          <w:tcPr/>
          <w:p>
            <w:pPr>
              <w:pStyle w:val="Compact"/>
              <w:jc w:val="left"/>
            </w:pPr>
            <w:r>
              <w:t xml:space="preserve">$20-100</w:t>
            </w:r>
          </w:p>
        </w:tc>
      </w:tr>
      <w:tr>
        <w:tc>
          <w:tcPr/>
          <w:p>
            <w:pPr>
              <w:pStyle w:val="Compact"/>
              <w:jc w:val="left"/>
            </w:pPr>
            <w:r>
              <w:rPr>
                <w:bCs/>
                <w:b/>
              </w:rPr>
              <w:t xml:space="preserve">成功标准</w:t>
            </w:r>
          </w:p>
        </w:tc>
        <w:tc>
          <w:tcPr/>
          <w:p>
            <w:pPr>
              <w:pStyle w:val="Compact"/>
              <w:jc w:val="left"/>
            </w:pPr>
            <w:r>
              <w:t xml:space="preserve">≥10人完成测试</w:t>
            </w:r>
          </w:p>
        </w:tc>
        <w:tc>
          <w:tcPr/>
          <w:p>
            <w:pPr>
              <w:pStyle w:val="Compact"/>
              <w:jc w:val="left"/>
            </w:pPr>
            <w:r>
              <w:t xml:space="preserve">≥1000 UV</w:t>
            </w:r>
          </w:p>
        </w:tc>
        <w:tc>
          <w:tcPr/>
          <w:p>
            <w:pPr>
              <w:pStyle w:val="Compact"/>
              <w:jc w:val="left"/>
            </w:pPr>
            <w:r>
              <w:t xml:space="preserve">≥5000 UV + 100次计算</w:t>
            </w:r>
          </w:p>
        </w:tc>
        <w:tc>
          <w:tcPr/>
          <w:p>
            <w:pPr>
              <w:pStyle w:val="Compact"/>
              <w:jc w:val="left"/>
            </w:pPr>
            <w:r>
              <w:t xml:space="preserve">≥1万UV + 律师合作</w:t>
            </w:r>
          </w:p>
        </w:tc>
      </w:tr>
    </w:tbl>
    <w:p>
      <w:pPr>
        <w:pStyle w:val="BodyText"/>
      </w:pPr>
      <w:r>
        <w:t xml:space="preserve">技术选型背后的成本逻辑清晰：MVP阶段推荐</w:t>
      </w:r>
      <w:r>
        <w:rPr>
          <w:bCs/>
          <w:b/>
        </w:rPr>
        <w:t xml:space="preserve">单模型方案</w:t>
      </w:r>
      <w:r>
        <w:t xml:space="preserve">而非Multi-Agent架构——2025-2026年主流大模型已具备综合处理意图理解、法律分析、文书生成的能力</w:t>
      </w:r>
      <w:fldSimple w:instr="NOTEREF _Ref_Footnote_82 \h \f">
        <w:r>
          <w:rPr>
            <w:vertAlign w:val="superscript"/>
          </w:rPr>
          <w:t>82</w:t>
        </w:r>
      </w:fldSimple>
      <w:r>
        <w:t xml:space="preserve">，多模型协作的路由复杂度在MVP阶段属于过度设计。DeepSeek V3.2的综合成本为$0.35/百万token</w:t>
      </w:r>
      <w:fldSimple w:instr="NOTEREF _Ref_Footnote_81 \h \f">
        <w:r>
          <w:rPr>
            <w:vertAlign w:val="superscript"/>
          </w:rPr>
          <w:t>81</w:t>
        </w:r>
      </w:fldSimple>
      <w:r>
        <w:t xml:space="preserve">，按每月2万次请求、每次5000 token计算月成本仅$35，远低于GPT-4.1的$5.00/百万token。通过Vercel AI SDK的模型切换能力，免费层额度用尽时自动降级至备用模型，实现”零中断”成本控制。</w:t>
      </w:r>
    </w:p>
    <w:bookmarkEnd w:id="105"/>
    <w:bookmarkEnd w:id="106"/>
    <w:bookmarkStart w:id="110" w:name="关键里程碑与成功指标"/>
    <w:p>
      <w:pPr>
        <w:pStyle w:val="Heading3"/>
      </w:pPr>
      <w:r>
        <w:t xml:space="preserve">6.3 关键里程碑与成功指标</w:t>
      </w:r>
    </w:p>
    <w:bookmarkStart w:id="107" w:name="月度里程碑"/>
    <w:p>
      <w:pPr>
        <w:pStyle w:val="Heading4"/>
      </w:pPr>
      <w:r>
        <w:t xml:space="preserve">6.3.1 月度里程碑</w:t>
      </w:r>
    </w:p>
    <w:p>
      <w:pPr>
        <w:pStyle w:val="FirstParagraph"/>
      </w:pPr>
      <w:r>
        <w:t xml:space="preserve">里程碑采用”北极星指标 + 验证假设”双轨设计：</w:t>
      </w:r>
    </w:p>
    <w:p>
      <w:pPr>
        <w:pStyle w:val="BodyText"/>
      </w:pPr>
      <w:r>
        <w:rPr>
          <w:bCs/>
          <w:b/>
        </w:rPr>
        <w:t xml:space="preserve">M1（第1月末，1000 UV）</w:t>
      </w:r>
      <w:r>
        <w:t xml:space="preserve">：验证”用户是否愿意使用AI工具描述劳动纠纷”。流量来源为创始人社交网络和垂直社群（如V2EX职场区、豆瓣劳动仲裁小组等），1000 UV为AI产品冷启动基准。若通过自然社交传播无法在1个月内达到此量级，说明产品价值主张不够清晰或目标用户定位存在偏差，需回溯至原型阶段调整问卷设计或Prompt输出质量。</w:t>
      </w:r>
    </w:p>
    <w:p>
      <w:pPr>
        <w:pStyle w:val="BodyText"/>
      </w:pPr>
      <w:r>
        <w:rPr>
          <w:bCs/>
          <w:b/>
        </w:rPr>
        <w:t xml:space="preserve">M2（第2月末，5000 UV + 100次补偿金计算）</w:t>
      </w:r>
      <w:r>
        <w:t xml:space="preserve">：验证”用户是否信任产品并输入敏感信息”。5000 UV要求生产级MVP具备基本SEO可见性；100次补偿金计算验证付费转化路径可行性。</w:t>
      </w:r>
    </w:p>
    <w:p>
      <w:pPr>
        <w:pStyle w:val="BodyText"/>
      </w:pPr>
      <w:r>
        <w:rPr>
          <w:bCs/>
          <w:b/>
        </w:rPr>
        <w:t xml:space="preserve">M3（第3月末，1万UV + 律师合作）</w:t>
      </w:r>
      <w:r>
        <w:t xml:space="preserve">：验证”律师是否愿意参与内容审核和案源转介”。标准为≥3名律师完成审核并签署合作协议，是C端向B端变现过渡的关键节点。</w:t>
      </w:r>
    </w:p>
    <w:p>
      <w:pPr>
        <w:pStyle w:val="BodyText"/>
      </w:pPr>
      <w:r>
        <w:rPr>
          <w:bCs/>
          <w:b/>
        </w:rPr>
        <w:t xml:space="preserve">M6（第6月末，B端试点）</w:t>
      </w:r>
      <w:r>
        <w:t xml:space="preserve">：验证”企业是否愿意为HR合规工具付费”。标准为≥5家企业完成试用并表达付费意向，标志着从”产品-市场匹配”向”商业模式验证”的跨越。</w:t>
      </w:r>
    </w:p>
    <w:bookmarkEnd w:id="107"/>
    <w:bookmarkStart w:id="108" w:name="核心成功指标"/>
    <w:p>
      <w:pPr>
        <w:pStyle w:val="Heading4"/>
      </w:pPr>
      <w:r>
        <w:t xml:space="preserve">6.3.2 核心成功指标</w:t>
      </w:r>
    </w:p>
    <w:p>
      <w:pPr>
        <w:pStyle w:val="FirstParagraph"/>
      </w:pPr>
      <w:r>
        <w:t xml:space="preserve">指标体系分为用户体验、运营效率和法律质量三个层级：</w:t>
      </w:r>
    </w:p>
    <w:p>
      <w:pPr>
        <w:pStyle w:val="BodyText"/>
      </w:pPr>
      <w:r>
        <w:rPr>
          <w:bCs/>
          <w:b/>
        </w:rPr>
        <w:t xml:space="preserve">用户完成率（目标 &gt; 60%）</w:t>
      </w:r>
      <w:r>
        <w:t xml:space="preserve">：完成完整交互流程的用户数占首页UV的比例。60%的目标高于SaaS行业20-40%的基准</w:t>
      </w:r>
      <w:fldSimple w:instr="NOTEREF _Ref_Footnote_127 \h \f">
        <w:r>
          <w:rPr>
            <w:vertAlign w:val="superscript"/>
          </w:rPr>
          <w:t>127</w:t>
        </w:r>
      </w:fldSimple>
      <w:r>
        <w:t xml:space="preserve">——劳动仲裁场景用户意图极强，完成率应显著高于通用产品。若低于40%，说明交互流程存在摩擦点。</w:t>
      </w:r>
    </w:p>
    <w:p>
      <w:pPr>
        <w:pStyle w:val="BodyText"/>
      </w:pPr>
      <w:r>
        <w:rPr>
          <w:bCs/>
          <w:b/>
        </w:rPr>
        <w:t xml:space="preserve">NPS净推荐值（目标 &gt; 40）</w:t>
      </w:r>
      <w:r>
        <w:t xml:space="preserve">：每两周推送NPS调研。AI Agent行业平均CAC高达50美元/用户，而LTV仅20-30美元</w:t>
      </w:r>
      <w:fldSimple w:instr="NOTEREF _Ref_Footnote_114 \h \f">
        <w:r>
          <w:rPr>
            <w:vertAlign w:val="superscript"/>
          </w:rPr>
          <w:t>114</w:t>
        </w:r>
      </w:fldSimple>
      <w:r>
        <w:t xml:space="preserve">，高NPS是打破”亏本获客”困境的关键——推荐获客的CAC接近于零。</w:t>
      </w:r>
    </w:p>
    <w:p>
      <w:pPr>
        <w:pStyle w:val="BodyText"/>
      </w:pPr>
      <w:r>
        <w:rPr>
          <w:bCs/>
          <w:b/>
        </w:rPr>
        <w:t xml:space="preserve">律师审核通过率（目标 &gt; 95%）</w:t>
      </w:r>
      <w:r>
        <w:t xml:space="preserve">：通过律师审核的AI生成内容占比。若低于90%，说明模型输出存在系统性问题，需回溯至Prompt设计层优化。</w:t>
      </w:r>
    </w:p>
    <w:bookmarkEnd w:id="108"/>
    <w:bookmarkStart w:id="109" w:name="风险预案"/>
    <w:p>
      <w:pPr>
        <w:pStyle w:val="Heading4"/>
      </w:pPr>
      <w:r>
        <w:t xml:space="preserve">6.3.3 风险预案</w:t>
      </w:r>
    </w:p>
    <w:p>
      <w:pPr>
        <w:pStyle w:val="FirstParagraph"/>
      </w:pPr>
      <w:r>
        <w:rPr>
          <w:bCs/>
          <w:b/>
        </w:rPr>
        <w:t xml:space="preserve">模型幻觉应对</w:t>
      </w:r>
      <w:r>
        <w:t xml:space="preserve">：采用Prompt三层防护——第一层（Chain-of-Thought + Negative Prompting + JSON Schema约束</w:t>
      </w:r>
      <w:fldSimple w:instr="NOTEREF _Ref_Footnote_22 \h \f">
        <w:r>
          <w:rPr>
            <w:vertAlign w:val="superscript"/>
          </w:rPr>
          <w:t>22</w:t>
        </w:r>
      </w:fldSimple>
      <w:r>
        <w:t xml:space="preserve">）、第二层（法条格式检查 + 金额合理性验证）、第三层（强制免责声明 + 人工审核入口）。法律领域通过多层防护可将幻觉率降低74%</w:t>
      </w:r>
      <w:fldSimple w:instr="NOTEREF _Ref_Footnote_23 \h \f">
        <w:r>
          <w:rPr>
            <w:vertAlign w:val="superscript"/>
          </w:rPr>
          <w:t>23</w:t>
        </w:r>
      </w:fldSimple>
      <w:r>
        <w:t xml:space="preserve">。若某类输出幻觉率持续高于10%，则切换为规则引擎实现。</w:t>
      </w:r>
    </w:p>
    <w:p>
      <w:pPr>
        <w:pStyle w:val="BodyText"/>
      </w:pPr>
      <w:r>
        <w:rPr>
          <w:bCs/>
          <w:b/>
        </w:rPr>
        <w:t xml:space="preserve">合规审查</w:t>
      </w:r>
      <w:r>
        <w:t xml:space="preserve">：MVP阶段即邀请劳动法专业律师参与设计。输出内容遵循风险分级：绿色（通用法律信息）、黄色（个案分析，附加免责声明）、红色（诉讼策略，仅提供框架性指引）。产品明确标注”AI辅助工具，仅供参考”</w:t>
      </w:r>
      <w:fldSimple w:instr="NOTEREF _Ref_Footnote_131 \h \f">
        <w:r>
          <w:rPr>
            <w:vertAlign w:val="superscript"/>
          </w:rPr>
          <w:t>131</w:t>
        </w:r>
      </w:fldSimple>
      <w:r>
        <w:t xml:space="preserve">。</w:t>
      </w:r>
    </w:p>
    <w:p>
      <w:pPr>
        <w:pStyle w:val="BodyText"/>
      </w:pPr>
      <w:r>
        <w:rPr>
          <w:bCs/>
          <w:b/>
        </w:rPr>
        <w:t xml:space="preserve">数据更新滞后</w:t>
      </w:r>
      <w:r>
        <w:t xml:space="preserve">：建立法规更新订阅机制，MVP阶段每季度手动更新Prompt中的法规摘要。涉及时效性内容的查询自动标注”请核实最新政策”。</w:t>
      </w:r>
    </w:p>
    <w:p>
      <w:pPr>
        <w:pStyle w:val="BodyText"/>
      </w:pPr>
      <w:r>
        <w:rPr>
          <w:bCs/>
          <w:b/>
        </w:rPr>
        <w:t xml:space="preserve">用户投诉处理</w:t>
      </w:r>
      <w:r>
        <w:t xml:space="preserve">：48小时响应机制，投诉分三级处理——L1（功能问题，自动回复+排期修复）、L2（内容质疑，律师复核+回复）、L3（合规投诉，律师团队介入）。所有投诉记录归档作为产品迭代输入。</w:t>
      </w:r>
    </w:p>
    <w:p>
      <w:pPr>
        <w:pStyle w:val="BodyText"/>
      </w:pPr>
      <w:r>
        <w:t xml:space="preserve">风险预案与里程碑形成闭环：M3要求完成一次幻觉应急演练——模拟模型生成错误法条的场景，测试三层防护的响应速度和用户通知机制；M6要求完成一次合规审计——由合作律师对产品输出进行系统性审查，出具合规意见书。这种将风险管理嵌入增长节奏的做法，确保产品在快速迭代的同时不越过合规红线，同时为后续融资和B端销售积累合规资产——合规运营本身将成为信任信号和竞争壁垒。</w:t>
      </w:r>
    </w:p>
    <w:p>
      <w:r>
        <w:pict>
          <v:rect style="width:0;height:1.5pt" o:hralign="center" o:hrstd="t" o:hr="t"/>
        </w:pict>
      </w:r>
    </w:p>
    <w:bookmarkEnd w:id="109"/>
    <w:bookmarkEnd w:id="110"/>
    <w:bookmarkEnd w:id="111"/>
    <w:bookmarkStart w:id="121" w:name="风险分析与建议"/>
    <w:p>
      <w:pPr>
        <w:pStyle w:val="Heading2"/>
      </w:pPr>
      <w:r>
        <w:t xml:space="preserve">7. 风险分析与建议</w:t>
      </w:r>
    </w:p>
    <w:p>
      <w:pPr>
        <w:pStyle w:val="FirstParagraph"/>
      </w:pPr>
      <w:r>
        <w:t xml:space="preserve">前述六章从市场、产品、技术、合规、商业模式和MVP实施六个维度论证了劳动仲裁智能体的高度可行性。然而，可行性评估不等于风险缺席。本章将识别项目全生命周期中的关键风险，量化其发生概率与影响程度，并基于前述章节的实证数据提出分层应对策略与可执行的行动路线图。</w:t>
      </w:r>
    </w:p>
    <w:bookmarkStart w:id="115" w:name="关键风险识别"/>
    <w:p>
      <w:pPr>
        <w:pStyle w:val="Heading3"/>
      </w:pPr>
      <w:r>
        <w:t xml:space="preserve">7.1 关键风险识别</w:t>
      </w:r>
    </w:p>
    <w:bookmarkStart w:id="112" w:name="技术风险ai幻觉导致错误法律建议"/>
    <w:p>
      <w:pPr>
        <w:pStyle w:val="Heading4"/>
      </w:pPr>
      <w:r>
        <w:t xml:space="preserve">7.1.1 技术风险：AI幻觉导致错误法律建议</w:t>
      </w:r>
    </w:p>
    <w:p>
      <w:pPr>
        <w:pStyle w:val="FirstParagraph"/>
      </w:pPr>
      <w:r>
        <w:t xml:space="preserve">AI幻觉（Hallucination）是法律AI应用中破坏性最大的系统性技术风险。法律领域幻觉主要表现为虚构法条、伪造判例和引用过期条文三种形式</w:t>
      </w:r>
      <w:fldSimple w:instr="NOTEREF _Ref_Footnote_76 \h \f">
        <w:r>
          <w:rPr>
            <w:vertAlign w:val="superscript"/>
          </w:rPr>
          <w:t>76</w:t>
        </w:r>
      </w:fldSimple>
      <w:r>
        <w:t xml:space="preserve">，即使LexisNexis和汤森路透等基于RAG（Retrieval-Augmented Generation，检索增强生成）技术的专业法律AI工具，幻觉率仍在17%-33%之间</w:t>
      </w:r>
      <w:fldSimple w:instr="NOTEREF _Ref_Footnote_30 \h \f">
        <w:r>
          <w:rPr>
            <w:vertAlign w:val="superscript"/>
          </w:rPr>
          <w:t>30</w:t>
        </w:r>
      </w:fldSimple>
      <w:r>
        <w:t xml:space="preserve">。在劳动仲裁场景中，幻觉的后果具有高度传导性——一个错误的赔偿金计算结果（如将2N误算为N）或一条虚构的法条引用，可能导致劳动者在仲裁中提出不合理的诉求，直接损害用户经济利益和产品信任。</w:t>
      </w:r>
    </w:p>
    <w:p>
      <w:pPr>
        <w:pStyle w:val="BodyText"/>
      </w:pPr>
      <w:r>
        <w:t xml:space="preserve">更具体的实证来自经济补偿金计算测试：大模型对”违法解除”定性不敏感，无论用户描述”无故辞退”还是”违法解除”，智能体都倾向于按最常见的N而非2N计算</w:t>
      </w:r>
      <w:fldSimple w:instr="NOTEREF _Ref_Footnote_78 \h \f">
        <w:r>
          <w:rPr>
            <w:vertAlign w:val="superscript"/>
          </w:rPr>
          <w:t>78</w:t>
        </w:r>
      </w:fldSimple>
      <w:r>
        <w:t xml:space="preserve">。PLaw Bench评测显示所有模型得分均未突破70%</w:t>
      </w:r>
      <w:fldSimple w:instr="NOTEREF _Ref_Footnote_24 \h \f">
        <w:r>
          <w:rPr>
            <w:vertAlign w:val="superscript"/>
          </w:rPr>
          <w:t>24</w:t>
        </w:r>
      </w:fldSimple>
      <w:r>
        <w:t xml:space="preserve">，意味着每3个回答中仍可能有1个存在错误。最高人民检察院理论研究所的研究亦指出，类案推送可能生成虚假类案，证据审查可能放大间接证据的解释强度</w:t>
      </w:r>
      <w:fldSimple w:instr="NOTEREF _Ref_Footnote_77 \h \f">
        <w:r>
          <w:rPr>
            <w:vertAlign w:val="superscript"/>
          </w:rPr>
          <w:t>77</w:t>
        </w:r>
      </w:fldSimple>
      <w:r>
        <w:t xml:space="preserve">。</w:t>
      </w:r>
    </w:p>
    <w:p>
      <w:pPr>
        <w:pStyle w:val="BodyText"/>
      </w:pPr>
      <w:r>
        <w:t xml:space="preserve">应对策略在于构建四层防护体系。第一层为Prompt级干预——Chain-of-Thought思维链、负向提示和约束生成可将幻觉率降低55-74%</w:t>
      </w:r>
      <w:fldSimple w:instr="NOTEREF _Ref_Footnote_21 \h \f">
        <w:r>
          <w:rPr>
            <w:vertAlign w:val="superscript"/>
          </w:rPr>
          <w:t>21</w:t>
        </w:r>
      </w:fldSimple>
      <w:r>
        <w:t xml:space="preserve"> </w:t>
      </w:r>
      <w:fldSimple w:instr="NOTEREF _Ref_Footnote_22 \h \f">
        <w:r>
          <w:rPr>
            <w:vertAlign w:val="superscript"/>
          </w:rPr>
          <w:t>22</w:t>
        </w:r>
      </w:fldSimple>
      <w:r>
        <w:t xml:space="preserve"> </w:t>
      </w:r>
      <w:fldSimple w:instr="NOTEREF _Ref_Footnote_23 \h \f">
        <w:r>
          <w:rPr>
            <w:vertAlign w:val="superscript"/>
          </w:rPr>
          <w:t>23</w:t>
        </w:r>
      </w:fldSimple>
      <w:r>
        <w:t xml:space="preserve">。第二层为输出验证层，校验法条编号格式、金额合理性并要求模型标注置信度。第三层为自我校验层，对关键输出进行二次检查。第四层为用户层——在所有输出中显著标注”AI生成，仅供参考”，并在高置信度场景自动触发人工复核提示。四层防护的叠加目标是将幻觉导致用户实际损失的概率降至1%以下。</w:t>
      </w:r>
    </w:p>
    <w:bookmarkEnd w:id="112"/>
    <w:bookmarkStart w:id="113" w:name="合规风险监管政策变化或执法趋严"/>
    <w:p>
      <w:pPr>
        <w:pStyle w:val="Heading4"/>
      </w:pPr>
      <w:r>
        <w:t xml:space="preserve">7.1.2 合规风险：监管政策变化或执法趋严</w:t>
      </w:r>
    </w:p>
    <w:p>
      <w:pPr>
        <w:pStyle w:val="FirstParagraph"/>
      </w:pPr>
      <w:r>
        <w:t xml:space="preserve">合规风险的核心不确定性来源于两条红线的动态边界。第一，</w:t>
      </w:r>
      <w:r>
        <w:t xml:space="preserve">“</w:t>
      </w:r>
      <w:r>
        <w:t xml:space="preserve">法律信息</w:t>
      </w:r>
      <w:r>
        <w:t xml:space="preserve">”</w:t>
      </w:r>
      <w:r>
        <w:t xml:space="preserve">与”法律建议”的边界缺乏明确的司法解释——产品输出的通用仲裁流程指引属于安全区域，但针对用户具体案情生成的行动建议可能进入灰色地带</w:t>
      </w:r>
      <w:fldSimple w:instr="NOTEREF _Ref_Footnote_31 \h \f">
        <w:r>
          <w:rPr>
            <w:vertAlign w:val="superscript"/>
          </w:rPr>
          <w:t>31</w:t>
        </w:r>
      </w:fldSimple>
      <w:r>
        <w:t xml:space="preserve">。2023年某法律AI企业因宣传”AI律师可代理劳动仲裁案件”被罚款20万元</w:t>
      </w:r>
      <w:fldSimple w:instr="NOTEREF _Ref_Footnote_100 \h \f">
        <w:r>
          <w:rPr>
            <w:vertAlign w:val="superscript"/>
          </w:rPr>
          <w:t>100</w:t>
        </w:r>
      </w:fldSimple>
      <w:r>
        <w:t xml:space="preserve">，2026年3月全球首例ChatGPT”无证执业”诉讼（Unauthorized Practice of Law, UPL）在美国提起</w:t>
      </w:r>
      <w:fldSimple w:instr="NOTEREF _Ref_Footnote_102 \h \f">
        <w:r>
          <w:rPr>
            <w:vertAlign w:val="superscript"/>
          </w:rPr>
          <w:t>102</w:t>
        </w:r>
      </w:fldSimple>
      <w:r>
        <w:t xml:space="preserve">，这些案例表明监管执法正在趋严。</w:t>
      </w:r>
    </w:p>
    <w:p>
      <w:pPr>
        <w:pStyle w:val="BodyText"/>
      </w:pPr>
      <w:r>
        <w:t xml:space="preserve">第二，《生成式人工智能服务管理暂行办法》的备案要求和安全评估标准仍在持续细化</w:t>
      </w:r>
      <w:fldSimple w:instr="NOTEREF _Ref_Footnote_25 \h \f">
        <w:r>
          <w:rPr>
            <w:vertAlign w:val="superscript"/>
          </w:rPr>
          <w:t>25</w:t>
        </w:r>
      </w:fldSimple>
      <w:r>
        <w:t xml:space="preserve">。截至2025年底已有490余款大模型完成备案</w:t>
      </w:r>
      <w:fldSimple w:instr="NOTEREF _Ref_Footnote_104 \h \f">
        <w:r>
          <w:rPr>
            <w:vertAlign w:val="superscript"/>
          </w:rPr>
          <w:t>104</w:t>
        </w:r>
      </w:fldSimple>
      <w:r>
        <w:t xml:space="preserve">，但未履行备案义务的处罚力度正在加大——上海3家网站和浙江某科技公司均因违规上线生成式AI功能被立案处罚或下架</w:t>
      </w:r>
      <w:fldSimple w:instr="NOTEREF _Ref_Footnote_106 \h \f">
        <w:r>
          <w:rPr>
            <w:vertAlign w:val="superscript"/>
          </w:rPr>
          <w:t>106</w:t>
        </w:r>
      </w:fldSimple>
      <w:r>
        <w:t xml:space="preserve"> </w:t>
      </w:r>
      <w:fldSimple w:instr="NOTEREF _Ref_Footnote_107 \h \f">
        <w:r>
          <w:rPr>
            <w:vertAlign w:val="superscript"/>
          </w:rPr>
          <w:t>107</w:t>
        </w:r>
      </w:fldSimple>
      <w:r>
        <w:t xml:space="preserve">。此外，律师转介模式面临《律师法》第26条的合规约束——</w:t>
      </w:r>
      <w:r>
        <w:t xml:space="preserve">“</w:t>
      </w:r>
      <w:r>
        <w:t xml:space="preserve">不得以支付介绍费等不正当手段承揽业务</w:t>
      </w:r>
      <w:r>
        <w:t xml:space="preserve">”</w:t>
      </w:r>
      <w:fldSimple w:instr="NOTEREF _Ref_Footnote_17 \h \f">
        <w:r>
          <w:rPr>
            <w:vertAlign w:val="superscript"/>
          </w:rPr>
          <w:t>17</w:t>
        </w:r>
      </w:fldSimple>
      <w:r>
        <w:t xml:space="preserve">，直接按案源成交比例分成存在触碰红线的风险。</w:t>
      </w:r>
    </w:p>
    <w:p>
      <w:pPr>
        <w:pStyle w:val="BodyText"/>
      </w:pPr>
      <w:r>
        <w:t xml:space="preserve">应对策略需前置化：MVP阶段即聘请劳动法领域律师参与产品设计，确保每个输出环节都有明确的合规审查；将算法备案纳入产品上线前的必选项（30个工作日审核期</w:t>
      </w:r>
      <w:fldSimple w:instr="NOTEREF _Ref_Footnote_26 \h \f">
        <w:r>
          <w:rPr>
            <w:vertAlign w:val="superscript"/>
          </w:rPr>
          <w:t>26</w:t>
        </w:r>
      </w:fldSimple>
      <w:r>
        <w:t xml:space="preserve">）；律师转介采用间接收费架构（</w:t>
      </w:r>
      <w:r>
        <w:t xml:space="preserve">“</w:t>
      </w:r>
      <w:r>
        <w:t xml:space="preserve">技术服务费</w:t>
      </w:r>
      <w:r>
        <w:t xml:space="preserve">”</w:t>
      </w:r>
      <w:r>
        <w:t xml:space="preserve">替代”案源介绍费”）；持续关注立法动态并与地方律协保持沟通，获取监管风向的早期信号。</w:t>
      </w:r>
    </w:p>
    <w:bookmarkEnd w:id="113"/>
    <w:bookmarkStart w:id="114" w:name="市场风险竞品快速跟进与需求验证失败"/>
    <w:p>
      <w:pPr>
        <w:pStyle w:val="Heading4"/>
      </w:pPr>
      <w:r>
        <w:t xml:space="preserve">7.1.3 市场风险：竞品快速跟进与需求验证失败</w:t>
      </w:r>
    </w:p>
    <w:p>
      <w:pPr>
        <w:pStyle w:val="FirstParagraph"/>
      </w:pPr>
      <w:r>
        <w:t xml:space="preserve">市场风险来自两个方向。一是现有通用法律AI竞品的快速跟进——通义法睿、法行宝、ChatLaw等产品虽目前均无劳动仲裁专项功能</w:t>
      </w:r>
      <w:fldSimple w:instr="NOTEREF _Ref_Footnote_3 \h \f">
        <w:r>
          <w:rPr>
            <w:vertAlign w:val="superscript"/>
          </w:rPr>
          <w:t>3</w:t>
        </w:r>
      </w:fldSimple>
      <w:r>
        <w:t xml:space="preserve"> </w:t>
      </w:r>
      <w:fldSimple w:instr="NOTEREF _Ref_Footnote_4 \h \f">
        <w:r>
          <w:rPr>
            <w:vertAlign w:val="superscript"/>
          </w:rPr>
          <w:t>4</w:t>
        </w:r>
      </w:fldSimple>
      <w:r>
        <w:t xml:space="preserve">，但其技术和用户基数构成潜在威胁。百度法行宝已服务940万用户</w:t>
      </w:r>
      <w:fldSimple w:instr="NOTEREF _Ref_Footnote_41 \h \f">
        <w:r>
          <w:rPr>
            <w:vertAlign w:val="superscript"/>
          </w:rPr>
          <w:t>41</w:t>
        </w:r>
      </w:fldSimple>
      <w:r>
        <w:t xml:space="preserve">，一旦决定将劳动仲裁作为垂直场景重点投入，其流量优势和品牌认知度将对专项产品形成挤压。</w:t>
      </w:r>
    </w:p>
    <w:p>
      <w:pPr>
        <w:pStyle w:val="BodyText"/>
      </w:pPr>
      <w:r>
        <w:t xml:space="preserve">二是需求验证失败——产品可能高估了劳动者的付费意愿或使用意愿。56.2%的劳动者在权益受损时选择忍气吞声</w:t>
      </w:r>
      <w:fldSimple w:instr="NOTEREF _Ref_Footnote_10 \h \f">
        <w:r>
          <w:rPr>
            <w:vertAlign w:val="superscript"/>
          </w:rPr>
          <w:t>10</w:t>
        </w:r>
      </w:fldSimple>
      <w:r>
        <w:t xml:space="preserve">，这一群体的核心障碍是心理恐惧而非信息缺失；如果产品未能有效降低行动门槛，即使提供了准确的信息也可能面临”知道但不做”的使用困境。C端AI产品普遍面临获客成本高企的挑战——AI Agent行业平均CAC（Customer Acquisition Cost）高达50美元/用户，而LTV（Life Time Value）仅为20-30美元</w:t>
      </w:r>
      <w:fldSimple w:instr="NOTEREF _Ref_Footnote_114 \h \f">
        <w:r>
          <w:rPr>
            <w:vertAlign w:val="superscript"/>
          </w:rPr>
          <w:t>114</w:t>
        </w:r>
      </w:fldSimple>
      <w:r>
        <w:t xml:space="preserve">。</w:t>
      </w:r>
    </w:p>
    <w:p>
      <w:pPr>
        <w:pStyle w:val="BodyText"/>
      </w:pPr>
      <w:r>
        <w:t xml:space="preserve">应对策略的核心是构建复合型壁垒。短期壁垒来自律师合作网络——88%律师已在使用AI</w:t>
      </w:r>
      <w:fldSimple w:instr="NOTEREF _Ref_Footnote_70 \h \f">
        <w:r>
          <w:rPr>
            <w:vertAlign w:val="superscript"/>
          </w:rPr>
          <w:t>70</w:t>
        </w:r>
      </w:fldSimple>
      <w:r>
        <w:t xml:space="preserve">，55.87%青年律师的首要焦虑是案源</w:t>
      </w:r>
      <w:fldSimple w:instr="NOTEREF _Ref_Footnote_14 \h \f">
        <w:r>
          <w:rPr>
            <w:vertAlign w:val="superscript"/>
          </w:rPr>
          <w:t>14</w:t>
        </w:r>
      </w:fldSimple>
      <w:r>
        <w:t xml:space="preserve">，先发构建的律师内容供应链具有难以复制的网络效应。中期壁垒来自数据积累——用户生成的案例数据和地域规则数据构成产品的核心资产，后进入者难以短期内获取。长期壁垒来自合规经验——先行者在”法律信息”与”法律建议”边界上的探索经验，将成为隐性知识护城河。</w:t>
      </w:r>
    </w:p>
    <w:p>
      <w:pPr>
        <w:pStyle w:val="BodyText"/>
      </w:pPr>
      <w:r>
        <w:t xml:space="preserve">下表对三类关键风险进行系统性的概率-影响矩阵评估：</w:t>
      </w:r>
    </w:p>
    <w:tbl>
      <w:tblPr>
        <w:tblStyle w:val="Table"/>
        <w:tblW w:type="pct" w:w="5000"/>
        <w:tblLook w:firstRow="1" w:lastRow="0" w:firstColumn="0" w:lastColumn="0" w:noHBand="0" w:noVBand="0" w:val="0020"/>
      </w:tblPr>
      <w:tblGrid>
        <w:gridCol w:w="990"/>
        <w:gridCol w:w="990"/>
        <w:gridCol w:w="1237"/>
        <w:gridCol w:w="1237"/>
        <w:gridCol w:w="1237"/>
        <w:gridCol w:w="990"/>
        <w:gridCol w:w="1237"/>
      </w:tblGrid>
      <w:tr>
        <w:trPr>
          <w:tblHeader w:val="true"/>
        </w:trPr>
        <w:tc>
          <w:tcPr/>
          <w:p>
            <w:pPr>
              <w:pStyle w:val="Compact"/>
              <w:jc w:val="left"/>
            </w:pPr>
            <w:r>
              <w:t xml:space="preserve">风险类别</w:t>
            </w:r>
          </w:p>
        </w:tc>
        <w:tc>
          <w:tcPr/>
          <w:p>
            <w:pPr>
              <w:pStyle w:val="Compact"/>
              <w:jc w:val="left"/>
            </w:pPr>
            <w:r>
              <w:t xml:space="preserve">具体风险</w:t>
            </w:r>
          </w:p>
        </w:tc>
        <w:tc>
          <w:tcPr/>
          <w:p>
            <w:pPr>
              <w:pStyle w:val="Compact"/>
              <w:jc w:val="center"/>
            </w:pPr>
            <w:r>
              <w:t xml:space="preserve">发生概率</w:t>
            </w:r>
          </w:p>
        </w:tc>
        <w:tc>
          <w:tcPr/>
          <w:p>
            <w:pPr>
              <w:pStyle w:val="Compact"/>
              <w:jc w:val="center"/>
            </w:pPr>
            <w:r>
              <w:t xml:space="preserve">影响程度</w:t>
            </w:r>
          </w:p>
        </w:tc>
        <w:tc>
          <w:tcPr/>
          <w:p>
            <w:pPr>
              <w:pStyle w:val="Compact"/>
              <w:jc w:val="center"/>
            </w:pPr>
            <w:r>
              <w:t xml:space="preserve">风险等级</w:t>
            </w:r>
          </w:p>
        </w:tc>
        <w:tc>
          <w:tcPr/>
          <w:p>
            <w:pPr>
              <w:pStyle w:val="Compact"/>
              <w:jc w:val="left"/>
            </w:pPr>
            <w:r>
              <w:t xml:space="preserve">核心应对措施</w:t>
            </w:r>
          </w:p>
        </w:tc>
        <w:tc>
          <w:tcPr/>
          <w:p>
            <w:pPr>
              <w:pStyle w:val="Compact"/>
              <w:jc w:val="center"/>
            </w:pPr>
            <w:r>
              <w:t xml:space="preserve">责任层级</w:t>
            </w:r>
          </w:p>
        </w:tc>
      </w:tr>
      <w:tr>
        <w:tc>
          <w:tcPr/>
          <w:p>
            <w:pPr>
              <w:pStyle w:val="Compact"/>
              <w:jc w:val="left"/>
            </w:pPr>
            <w:r>
              <w:t xml:space="preserve">技术风险</w:t>
            </w:r>
          </w:p>
        </w:tc>
        <w:tc>
          <w:tcPr/>
          <w:p>
            <w:pPr>
              <w:pStyle w:val="Compact"/>
              <w:jc w:val="left"/>
            </w:pPr>
            <w:r>
              <w:t xml:space="preserve">AI幻觉导致错误法律建议或赔偿金计算</w:t>
            </w:r>
          </w:p>
        </w:tc>
        <w:tc>
          <w:tcPr/>
          <w:p>
            <w:pPr>
              <w:pStyle w:val="Compact"/>
              <w:jc w:val="center"/>
            </w:pPr>
            <w:r>
              <w:t xml:space="preserve">中（17-33%基础率</w:t>
            </w:r>
            <w:fldSimple w:instr="NOTEREF _Ref_Footnote_30 \h \f">
              <w:r>
                <w:rPr>
                  <w:vertAlign w:val="superscript"/>
                </w:rPr>
                <w:t>30</w:t>
              </w:r>
            </w:fldSimple>
            <w:r>
              <w:t xml:space="preserve">）</w:t>
            </w:r>
          </w:p>
        </w:tc>
        <w:tc>
          <w:tcPr/>
          <w:p>
            <w:pPr>
              <w:pStyle w:val="Compact"/>
              <w:jc w:val="center"/>
            </w:pPr>
            <w:r>
              <w:t xml:space="preserve">高（用户经济损失+信任崩塌）</w:t>
            </w:r>
          </w:p>
        </w:tc>
        <w:tc>
          <w:tcPr/>
          <w:p>
            <w:pPr>
              <w:pStyle w:val="Compact"/>
              <w:jc w:val="center"/>
            </w:pPr>
            <w:r>
              <w:rPr>
                <w:bCs/>
                <w:b/>
              </w:rPr>
              <w:t xml:space="preserve">高</w:t>
            </w:r>
          </w:p>
        </w:tc>
        <w:tc>
          <w:tcPr/>
          <w:p>
            <w:pPr>
              <w:pStyle w:val="Compact"/>
              <w:jc w:val="left"/>
            </w:pPr>
            <w:r>
              <w:t xml:space="preserve">四层防护体系（Prompt→验证→校验→用户层），目标降至1%以下</w:t>
            </w:r>
          </w:p>
        </w:tc>
        <w:tc>
          <w:tcPr/>
          <w:p>
            <w:pPr>
              <w:pStyle w:val="Compact"/>
              <w:jc w:val="center"/>
            </w:pPr>
            <w:r>
              <w:t xml:space="preserve">产品/技术</w:t>
            </w:r>
          </w:p>
        </w:tc>
      </w:tr>
      <w:tr>
        <w:tc>
          <w:tcPr/>
          <w:p>
            <w:pPr>
              <w:pStyle w:val="Compact"/>
              <w:jc w:val="left"/>
            </w:pPr>
            <w:r>
              <w:t xml:space="preserve">技术风险</w:t>
            </w:r>
          </w:p>
        </w:tc>
        <w:tc>
          <w:tcPr/>
          <w:p>
            <w:pPr>
              <w:pStyle w:val="Compact"/>
              <w:jc w:val="left"/>
            </w:pPr>
            <w:r>
              <w:t xml:space="preserve">大模型能力上限（70%准确率天花板</w:t>
            </w:r>
            <w:fldSimple w:instr="NOTEREF _Ref_Footnote_24 \h \f">
              <w:r>
                <w:rPr>
                  <w:vertAlign w:val="superscript"/>
                </w:rPr>
                <w:t>24</w:t>
              </w:r>
            </w:fldSimple>
            <w:r>
              <w:t xml:space="preserve">）制约产品体验</w:t>
            </w:r>
          </w:p>
        </w:tc>
        <w:tc>
          <w:tcPr/>
          <w:p>
            <w:pPr>
              <w:pStyle w:val="Compact"/>
              <w:jc w:val="center"/>
            </w:pPr>
            <w:r>
              <w:t xml:space="preserve">高（已验证）</w:t>
            </w:r>
          </w:p>
        </w:tc>
        <w:tc>
          <w:tcPr/>
          <w:p>
            <w:pPr>
              <w:pStyle w:val="Compact"/>
              <w:jc w:val="center"/>
            </w:pPr>
            <w:r>
              <w:t xml:space="preserve">中（可通过人机协同缓解）</w:t>
            </w:r>
          </w:p>
        </w:tc>
        <w:tc>
          <w:tcPr/>
          <w:p>
            <w:pPr>
              <w:pStyle w:val="Compact"/>
              <w:jc w:val="center"/>
            </w:pPr>
            <w:r>
              <w:rPr>
                <w:bCs/>
                <w:b/>
              </w:rPr>
              <w:t xml:space="preserve">中</w:t>
            </w:r>
          </w:p>
        </w:tc>
        <w:tc>
          <w:tcPr/>
          <w:p>
            <w:pPr>
              <w:pStyle w:val="Compact"/>
              <w:jc w:val="left"/>
            </w:pPr>
            <w:r>
              <w:t xml:space="preserve">诚实展示AI局限，</w:t>
            </w:r>
            <w:r>
              <w:t xml:space="preserve">“</w:t>
            </w:r>
            <w:r>
              <w:t xml:space="preserve">升级至人工咨询</w:t>
            </w:r>
            <w:r>
              <w:t xml:space="preserve">”</w:t>
            </w:r>
            <w:r>
              <w:t xml:space="preserve">作为变现节点</w:t>
            </w:r>
          </w:p>
        </w:tc>
        <w:tc>
          <w:tcPr/>
          <w:p>
            <w:pPr>
              <w:pStyle w:val="Compact"/>
              <w:jc w:val="center"/>
            </w:pPr>
            <w:r>
              <w:t xml:space="preserve">产品</w:t>
            </w:r>
          </w:p>
        </w:tc>
      </w:tr>
      <w:tr>
        <w:tc>
          <w:tcPr/>
          <w:p>
            <w:pPr>
              <w:pStyle w:val="Compact"/>
              <w:jc w:val="left"/>
            </w:pPr>
            <w:r>
              <w:t xml:space="preserve">合规风险</w:t>
            </w:r>
          </w:p>
        </w:tc>
        <w:tc>
          <w:tcPr/>
          <w:p>
            <w:pPr>
              <w:pStyle w:val="Compact"/>
              <w:jc w:val="left"/>
            </w:pPr>
            <w:r>
              <w:t xml:space="preserve">监管政策变化或执法趋严导致产品形态需调整</w:t>
            </w:r>
          </w:p>
        </w:tc>
        <w:tc>
          <w:tcPr/>
          <w:p>
            <w:pPr>
              <w:pStyle w:val="Compact"/>
              <w:jc w:val="center"/>
            </w:pPr>
            <w:r>
              <w:t xml:space="preserve">中（趋势明确但节奏不确定）</w:t>
            </w:r>
          </w:p>
        </w:tc>
        <w:tc>
          <w:tcPr/>
          <w:p>
            <w:pPr>
              <w:pStyle w:val="Compact"/>
              <w:jc w:val="center"/>
            </w:pPr>
            <w:r>
              <w:t xml:space="preserve">高（可能要求功能下线或整改）</w:t>
            </w:r>
          </w:p>
        </w:tc>
        <w:tc>
          <w:tcPr/>
          <w:p>
            <w:pPr>
              <w:pStyle w:val="Compact"/>
              <w:jc w:val="center"/>
            </w:pPr>
            <w:r>
              <w:rPr>
                <w:bCs/>
                <w:b/>
              </w:rPr>
              <w:t xml:space="preserve">高</w:t>
            </w:r>
          </w:p>
        </w:tc>
        <w:tc>
          <w:tcPr/>
          <w:p>
            <w:pPr>
              <w:pStyle w:val="Compact"/>
              <w:jc w:val="left"/>
            </w:pPr>
            <w:r>
              <w:t xml:space="preserve">MVP阶段即引入律师参与设计，算法备案前置，持续监测立法动态</w:t>
            </w:r>
          </w:p>
        </w:tc>
        <w:tc>
          <w:tcPr/>
          <w:p>
            <w:pPr>
              <w:pStyle w:val="Compact"/>
              <w:jc w:val="center"/>
            </w:pPr>
            <w:r>
              <w:t xml:space="preserve">法务/合规</w:t>
            </w:r>
          </w:p>
        </w:tc>
      </w:tr>
      <w:tr>
        <w:tc>
          <w:tcPr/>
          <w:p>
            <w:pPr>
              <w:pStyle w:val="Compact"/>
              <w:jc w:val="left"/>
            </w:pPr>
            <w:r>
              <w:t xml:space="preserve">合规风险</w:t>
            </w:r>
          </w:p>
        </w:tc>
        <w:tc>
          <w:tcPr/>
          <w:p>
            <w:pPr>
              <w:pStyle w:val="Compact"/>
              <w:jc w:val="left"/>
            </w:pPr>
            <w:r>
              <w:t xml:space="preserve">律师转介模式触碰《律师法》第26条红线</w:t>
            </w:r>
            <w:fldSimple w:instr="NOTEREF _Ref_Footnote_17 \h \f">
              <w:r>
                <w:rPr>
                  <w:vertAlign w:val="superscript"/>
                </w:rPr>
                <w:t>17</w:t>
              </w:r>
            </w:fldSimple>
          </w:p>
        </w:tc>
        <w:tc>
          <w:tcPr/>
          <w:p>
            <w:pPr>
              <w:pStyle w:val="Compact"/>
              <w:jc w:val="center"/>
            </w:pPr>
            <w:r>
              <w:t xml:space="preserve">中（边界模糊）</w:t>
            </w:r>
          </w:p>
        </w:tc>
        <w:tc>
          <w:tcPr/>
          <w:p>
            <w:pPr>
              <w:pStyle w:val="Compact"/>
              <w:jc w:val="center"/>
            </w:pPr>
            <w:r>
              <w:t xml:space="preserve">高（行政处罚+品牌受损）</w:t>
            </w:r>
          </w:p>
        </w:tc>
        <w:tc>
          <w:tcPr/>
          <w:p>
            <w:pPr>
              <w:pStyle w:val="Compact"/>
              <w:jc w:val="center"/>
            </w:pPr>
            <w:r>
              <w:rPr>
                <w:bCs/>
                <w:b/>
              </w:rPr>
              <w:t xml:space="preserve">高</w:t>
            </w:r>
          </w:p>
        </w:tc>
        <w:tc>
          <w:tcPr/>
          <w:p>
            <w:pPr>
              <w:pStyle w:val="Compact"/>
              <w:jc w:val="left"/>
            </w:pPr>
            <w:r>
              <w:t xml:space="preserve">间接收费架构（</w:t>
            </w:r>
            <w:r>
              <w:t xml:space="preserve">“</w:t>
            </w:r>
            <w:r>
              <w:t xml:space="preserve">技术服务费</w:t>
            </w:r>
            <w:r>
              <w:t xml:space="preserve">”</w:t>
            </w:r>
            <w:r>
              <w:t xml:space="preserve">替代”案源介绍费”），专业法律设计</w:t>
            </w:r>
          </w:p>
        </w:tc>
        <w:tc>
          <w:tcPr/>
          <w:p>
            <w:pPr>
              <w:pStyle w:val="Compact"/>
              <w:jc w:val="center"/>
            </w:pPr>
            <w:r>
              <w:t xml:space="preserve">法务</w:t>
            </w:r>
          </w:p>
        </w:tc>
      </w:tr>
      <w:tr>
        <w:tc>
          <w:tcPr/>
          <w:p>
            <w:pPr>
              <w:pStyle w:val="Compact"/>
              <w:jc w:val="left"/>
            </w:pPr>
            <w:r>
              <w:t xml:space="preserve">市场风险</w:t>
            </w:r>
          </w:p>
        </w:tc>
        <w:tc>
          <w:tcPr/>
          <w:p>
            <w:pPr>
              <w:pStyle w:val="Compact"/>
              <w:jc w:val="left"/>
            </w:pPr>
            <w:r>
              <w:t xml:space="preserve">通义法睿/法行宝等竞品快速跟进劳动仲裁功能</w:t>
            </w:r>
          </w:p>
        </w:tc>
        <w:tc>
          <w:tcPr/>
          <w:p>
            <w:pPr>
              <w:pStyle w:val="Compact"/>
              <w:jc w:val="center"/>
            </w:pPr>
            <w:r>
              <w:t xml:space="preserve">中（取决于其战略优先级）</w:t>
            </w:r>
          </w:p>
        </w:tc>
        <w:tc>
          <w:tcPr/>
          <w:p>
            <w:pPr>
              <w:pStyle w:val="Compact"/>
              <w:jc w:val="center"/>
            </w:pPr>
            <w:r>
              <w:t xml:space="preserve">中（流量和品牌优势）</w:t>
            </w:r>
          </w:p>
        </w:tc>
        <w:tc>
          <w:tcPr/>
          <w:p>
            <w:pPr>
              <w:pStyle w:val="Compact"/>
              <w:jc w:val="center"/>
            </w:pPr>
            <w:r>
              <w:rPr>
                <w:bCs/>
                <w:b/>
              </w:rPr>
              <w:t xml:space="preserve">中</w:t>
            </w:r>
          </w:p>
        </w:tc>
        <w:tc>
          <w:tcPr/>
          <w:p>
            <w:pPr>
              <w:pStyle w:val="Compact"/>
              <w:jc w:val="left"/>
            </w:pPr>
            <w:r>
              <w:t xml:space="preserve">通过律师网络和数据积累构建壁垒，专注细分场景深度</w:t>
            </w:r>
          </w:p>
        </w:tc>
        <w:tc>
          <w:tcPr/>
          <w:p>
            <w:pPr>
              <w:pStyle w:val="Compact"/>
              <w:jc w:val="center"/>
            </w:pPr>
            <w:r>
              <w:t xml:space="preserve">战略</w:t>
            </w:r>
          </w:p>
        </w:tc>
      </w:tr>
      <w:tr>
        <w:tc>
          <w:tcPr/>
          <w:p>
            <w:pPr>
              <w:pStyle w:val="Compact"/>
              <w:jc w:val="left"/>
            </w:pPr>
            <w:r>
              <w:t xml:space="preserve">市场风险</w:t>
            </w:r>
          </w:p>
        </w:tc>
        <w:tc>
          <w:tcPr/>
          <w:p>
            <w:pPr>
              <w:pStyle w:val="Compact"/>
              <w:jc w:val="left"/>
            </w:pPr>
            <w:r>
              <w:t xml:space="preserve">C端用户付费转化率低于预期（&lt;3%</w:t>
            </w:r>
            <w:fldSimple w:instr="NOTEREF _Ref_Footnote_27 \h \f">
              <w:r>
                <w:rPr>
                  <w:vertAlign w:val="superscript"/>
                </w:rPr>
                <w:t>27</w:t>
              </w:r>
            </w:fldSimple>
            <w:r>
              <w:t xml:space="preserve">）</w:t>
            </w:r>
          </w:p>
        </w:tc>
        <w:tc>
          <w:tcPr/>
          <w:p>
            <w:pPr>
              <w:pStyle w:val="Compact"/>
              <w:jc w:val="center"/>
            </w:pPr>
            <w:r>
              <w:t xml:space="preserve">中（行业基准3-8%）</w:t>
            </w:r>
          </w:p>
        </w:tc>
        <w:tc>
          <w:tcPr/>
          <w:p>
            <w:pPr>
              <w:pStyle w:val="Compact"/>
              <w:jc w:val="center"/>
            </w:pPr>
            <w:r>
              <w:t xml:space="preserve">中（延缓盈利但不致命）</w:t>
            </w:r>
          </w:p>
        </w:tc>
        <w:tc>
          <w:tcPr/>
          <w:p>
            <w:pPr>
              <w:pStyle w:val="Compact"/>
              <w:jc w:val="center"/>
            </w:pPr>
            <w:r>
              <w:rPr>
                <w:bCs/>
                <w:b/>
              </w:rPr>
              <w:t xml:space="preserve">中</w:t>
            </w:r>
          </w:p>
        </w:tc>
        <w:tc>
          <w:tcPr/>
          <w:p>
            <w:pPr>
              <w:pStyle w:val="Compact"/>
              <w:jc w:val="left"/>
            </w:pPr>
            <w:r>
              <w:t xml:space="preserve">C端获客+B端变现双轮驱动，C端定位为获客入口而非利润中心</w:t>
            </w:r>
          </w:p>
        </w:tc>
        <w:tc>
          <w:tcPr/>
          <w:p>
            <w:pPr>
              <w:pStyle w:val="Compact"/>
              <w:jc w:val="center"/>
            </w:pPr>
            <w:r>
              <w:t xml:space="preserve">商业化</w:t>
            </w:r>
          </w:p>
        </w:tc>
      </w:tr>
      <w:tr>
        <w:tc>
          <w:tcPr/>
          <w:p>
            <w:pPr>
              <w:pStyle w:val="Compact"/>
              <w:jc w:val="left"/>
            </w:pPr>
            <w:r>
              <w:t xml:space="preserve">市场风险</w:t>
            </w:r>
          </w:p>
        </w:tc>
        <w:tc>
          <w:tcPr/>
          <w:p>
            <w:pPr>
              <w:pStyle w:val="Compact"/>
              <w:jc w:val="left"/>
            </w:pPr>
            <w:r>
              <w:t xml:space="preserve">劳动者”知道但不做”，产品未能有效降低行动门槛</w:t>
            </w:r>
          </w:p>
        </w:tc>
        <w:tc>
          <w:tcPr/>
          <w:p>
            <w:pPr>
              <w:pStyle w:val="Compact"/>
              <w:jc w:val="center"/>
            </w:pPr>
            <w:r>
              <w:t xml:space="preserve">中（56.2%选择放弃</w:t>
            </w:r>
            <w:fldSimple w:instr="NOTEREF _Ref_Footnote_10 \h \f">
              <w:r>
                <w:rPr>
                  <w:vertAlign w:val="superscript"/>
                </w:rPr>
                <w:t>10</w:t>
              </w:r>
            </w:fldSimple>
            <w:r>
              <w:t xml:space="preserve">）</w:t>
            </w:r>
          </w:p>
        </w:tc>
        <w:tc>
          <w:tcPr/>
          <w:p>
            <w:pPr>
              <w:pStyle w:val="Compact"/>
              <w:jc w:val="center"/>
            </w:pPr>
            <w:r>
              <w:t xml:space="preserve">高（用户留存率极低）</w:t>
            </w:r>
          </w:p>
        </w:tc>
        <w:tc>
          <w:tcPr/>
          <w:p>
            <w:pPr>
              <w:pStyle w:val="Compact"/>
              <w:jc w:val="center"/>
            </w:pPr>
            <w:r>
              <w:rPr>
                <w:bCs/>
                <w:b/>
              </w:rPr>
              <w:t xml:space="preserve">高</w:t>
            </w:r>
          </w:p>
        </w:tc>
        <w:tc>
          <w:tcPr/>
          <w:p>
            <w:pPr>
              <w:pStyle w:val="Compact"/>
              <w:jc w:val="left"/>
            </w:pPr>
            <w:r>
              <w:t xml:space="preserve">产品聚焦”执行工具”而非”法律咨询”，以任务清单替代问答</w:t>
            </w:r>
          </w:p>
        </w:tc>
        <w:tc>
          <w:tcPr/>
          <w:p>
            <w:pPr>
              <w:pStyle w:val="Compact"/>
              <w:jc w:val="center"/>
            </w:pPr>
            <w:r>
              <w:t xml:space="preserve">产品/运营</w:t>
            </w:r>
          </w:p>
        </w:tc>
      </w:tr>
    </w:tbl>
    <w:p>
      <w:pPr>
        <w:pStyle w:val="BodyText"/>
      </w:pPr>
      <w:r>
        <w:t xml:space="preserve">上表呈现了7项具体风险的综合评估结果。其中风险等级为”高”的4项是项目启动后需优先投入资源监控和应对的重点——技术风险中的AI幻觉和市场风险中的用户行动力不足，虽然性质不同，但都直接威胁产品的核心价值主张。技术风险可通过工程手段系统性降低，而用户行动力不足则需要产品设计和运营策略的协同创新。值得注意的是，大模型70%准确率天花板</w:t>
      </w:r>
      <w:fldSimple w:instr="NOTEREF _Ref_Footnote_24 \h \f">
        <w:r>
          <w:rPr>
            <w:vertAlign w:val="superscript"/>
          </w:rPr>
          <w:t>24</w:t>
        </w:r>
      </w:fldSimple>
      <w:r>
        <w:t xml:space="preserve">看似是技术约束，但如前文所述，它恰恰创造了”AI初稿+人工审核”商业模式的窗口——用户愿意为从65%到85%的准确率提升付费，这种”不完美中的机会”是本项目区别于通用AI工具的独特商业逻辑。</w:t>
      </w:r>
    </w:p>
    <w:bookmarkEnd w:id="114"/>
    <w:bookmarkEnd w:id="115"/>
    <w:bookmarkStart w:id="120" w:name="战略建议"/>
    <w:p>
      <w:pPr>
        <w:pStyle w:val="Heading3"/>
      </w:pPr>
      <w:r>
        <w:t xml:space="preserve">7.2 战略建议</w:t>
      </w:r>
    </w:p>
    <w:bookmarkStart w:id="116" w:name="立即行动项0-2周"/>
    <w:p>
      <w:pPr>
        <w:pStyle w:val="Heading4"/>
      </w:pPr>
      <w:r>
        <w:t xml:space="preserve">7.2.1 立即行动项（0-2周）</w:t>
      </w:r>
    </w:p>
    <w:p>
      <w:pPr>
        <w:pStyle w:val="FirstParagraph"/>
      </w:pPr>
      <w:r>
        <w:t xml:space="preserve">立即行动项遵循”零成本验证”原则，目标是在不投入资金的条件下完成需求假设的初步检验。具体包括：注册产品域名并完成ICP备案（约7-14个工作日）；使用Gradio或Streamlit搭建功能原型，接入Gemini 2.5 Flash-Lite免费层（1,000 RPD/天</w:t>
      </w:r>
      <w:fldSimple w:instr="NOTEREF _Ref_Footnote_5 \h \f">
        <w:r>
          <w:rPr>
            <w:vertAlign w:val="superscript"/>
          </w:rPr>
          <w:t>5</w:t>
        </w:r>
      </w:fldSimple>
      <w:r>
        <w:t xml:space="preserve">）或DeepSeek免费层（500万token</w:t>
      </w:r>
      <w:fldSimple w:instr="NOTEREF _Ref_Footnote_18 \h \f">
        <w:r>
          <w:rPr>
            <w:vertAlign w:val="superscript"/>
          </w:rPr>
          <w:t>18</w:t>
        </w:r>
      </w:fldSimple>
      <w:r>
        <w:t xml:space="preserve">），验证核心交互流程；联系3-5位劳动法领域律师（可通过知乎、无讼平台或本地律协渠道），讨论内容合作和审核机制的可行性。此阶段的关键成功指标是：原型能够在10分钟内完成一次从案情输入到证据清单输出的完整流程，并获得至少1位律师的”概念上可行”反馈。</w:t>
      </w:r>
    </w:p>
    <w:bookmarkEnd w:id="116"/>
    <w:bookmarkStart w:id="117" w:name="短期目标1-3个月"/>
    <w:p>
      <w:pPr>
        <w:pStyle w:val="Heading4"/>
      </w:pPr>
      <w:r>
        <w:t xml:space="preserve">7.2.2 短期目标（1-3个月）</w:t>
      </w:r>
    </w:p>
    <w:p>
      <w:pPr>
        <w:pStyle w:val="FirstParagraph"/>
      </w:pPr>
      <w:r>
        <w:t xml:space="preserve">短期目标聚焦于MVP开发和PMF（Product-Market Fit，产品-市场匹配）验证。技术层面，将原型升级为基于Next.js + Vercel的生产级Web应用，完成纠纷类型识别、赔偿金计算、证据清单生成和流程指引四个核心模块。用户层面，通过SEO优化劳动仲裁关键词获取自然流量，目标首月1,000 UV（Unique Visitors），第三个月达到10,000 UV；验证付费转化假设，目标按次付费转化率不低于3%（行业保守基准</w:t>
      </w:r>
      <w:fldSimple w:instr="NOTEREF _Ref_Footnote_27 \h \f">
        <w:r>
          <w:rPr>
            <w:vertAlign w:val="superscript"/>
          </w:rPr>
          <w:t>27</w:t>
        </w:r>
      </w:fldSimple>
      <w:r>
        <w:t xml:space="preserve">）。合规层面，完成算法备案材料准备并提交审核（30个工作日</w:t>
      </w:r>
      <w:fldSimple w:instr="NOTEREF _Ref_Footnote_26 \h \f">
        <w:r>
          <w:rPr>
            <w:vertAlign w:val="superscript"/>
          </w:rPr>
          <w:t>26</w:t>
        </w:r>
      </w:fldSimple>
      <w:r>
        <w:t xml:space="preserve">），聘请律师审核所有用户-facing内容和免责声明。此阶段的决策关口是：如果3个月后日活跃用户（DAU）未能达到100人或付费转化率为0，需要重新审视产品价值主张或目标客群。</w:t>
      </w:r>
    </w:p>
    <w:bookmarkEnd w:id="117"/>
    <w:bookmarkStart w:id="118" w:name="中期目标3-6个月"/>
    <w:p>
      <w:pPr>
        <w:pStyle w:val="Heading4"/>
      </w:pPr>
      <w:r>
        <w:t xml:space="preserve">7.2.3 中期目标（3-6个月）</w:t>
      </w:r>
    </w:p>
    <w:p>
      <w:pPr>
        <w:pStyle w:val="FirstParagraph"/>
      </w:pPr>
      <w:r>
        <w:t xml:space="preserve">中期目标着眼于从”验证可行”到”建立壁垒”的跃迁。律师合作网络方面，签约至少10位劳动法领域律师作为内容审核合作伙伴，建立律师审核AI生成内容的标准化流程，目标审核通过率达到95%以上。B端探索方面，启动企业HR合规SaaS版本的概念验证，基于C端积累的案例数据设计”用工风险评估”功能，接触10-20家中小企业验证付费意愿。政府合作方面，与1-2个地方法援中心或仲裁院建立联系，探讨AI辅助工作站或智能分诊系统的试点可能。数据层面，建立案例数据库和地域规则库的更新机制，覆盖至少10个核心城市的地方法规差异。此阶段收入目标为：C端按次付费月均500次以上，B端签署至少1家付费试点客户。</w:t>
      </w:r>
    </w:p>
    <w:bookmarkEnd w:id="118"/>
    <w:bookmarkStart w:id="119" w:name="核心原则诚实优先于完美"/>
    <w:p>
      <w:pPr>
        <w:pStyle w:val="Heading4"/>
      </w:pPr>
      <w:r>
        <w:t xml:space="preserve">7.2.4 核心原则：诚实优先于完美</w:t>
      </w:r>
    </w:p>
    <w:p>
      <w:pPr>
        <w:pStyle w:val="FirstParagraph"/>
      </w:pPr>
      <w:r>
        <w:t xml:space="preserve">在1-6个月的执行过程中，四项核心原则构成决策框架。</w:t>
      </w:r>
      <w:r>
        <w:rPr>
          <w:bCs/>
          <w:b/>
        </w:rPr>
        <w:t xml:space="preserve">诚实优先于完美</w:t>
      </w:r>
      <w:r>
        <w:t xml:space="preserve">——产品应诚实展示AI的能力和局限，在所有输出中标注置信度和不确定性，</w:t>
      </w:r>
      <w:r>
        <w:t xml:space="preserve">“</w:t>
      </w:r>
      <w:r>
        <w:t xml:space="preserve">不确定</w:t>
      </w:r>
      <w:r>
        <w:t xml:space="preserve">”</w:t>
      </w:r>
      <w:r>
        <w:t xml:space="preserve">的坦诚比”假装确定”的错误更能建立长期信任。</w:t>
      </w:r>
      <w:r>
        <w:rPr>
          <w:bCs/>
          <w:b/>
        </w:rPr>
        <w:t xml:space="preserve">人机协同而非替代</w:t>
      </w:r>
      <w:r>
        <w:t xml:space="preserve">——AI处理标准化信息供给（70%的问题），律师处理复杂判断和个性化建议（30%的问题），两者不是竞争关系而是递进关系</w:t>
      </w:r>
      <w:fldSimple w:instr="NOTEREF _Ref_Footnote_70 \h \f">
        <w:r>
          <w:rPr>
            <w:vertAlign w:val="superscript"/>
          </w:rPr>
          <w:t>70</w:t>
        </w:r>
      </w:fldSimple>
      <w:r>
        <w:t xml:space="preserve">。</w:t>
      </w:r>
      <w:r>
        <w:rPr>
          <w:bCs/>
          <w:b/>
        </w:rPr>
        <w:t xml:space="preserve">渐进式建立信任</w:t>
      </w:r>
      <w:r>
        <w:t xml:space="preserve">——通过免费试用→小额付费（29-49元/次）→退款保障→成功案例社交证明的四层递进，降低用户的心理试错成本。</w:t>
      </w:r>
      <w:r>
        <w:rPr>
          <w:bCs/>
          <w:b/>
        </w:rPr>
        <w:t xml:space="preserve">以证据驱动迭代</w:t>
      </w:r>
      <w:r>
        <w:t xml:space="preserve">——所有产品决策基于用户行为数据（完成率、回访率、付费转化率）而非主观假设，每月进行数据回顾并调整优先级。</w:t>
      </w:r>
    </w:p>
    <w:p>
      <w:pPr>
        <w:pStyle w:val="BodyText"/>
      </w:pPr>
      <w:r>
        <w:t xml:space="preserve">这些原则的实践检验标准是：如果用户在完成一次劳动仲裁评估后，能够清晰说出”这个产品帮我知道了我下一步该做什么”而非”这个AI给了我法律建议”，则产品的定位和边界是正确的。劳动仲裁智能体的最终价值不在于替代律师，而在于将每年425.7万件案件</w:t>
      </w:r>
      <w:fldSimple w:instr="NOTEREF _Ref_Footnote_1 \h \f">
        <w:r>
          <w:rPr>
            <w:vertAlign w:val="superscript"/>
          </w:rPr>
          <w:t>1</w:t>
        </w:r>
      </w:fldSimple>
      <w:r>
        <w:t xml:space="preserve">中那56.2%本可维权却选择放弃的劳动者</w:t>
      </w:r>
      <w:fldSimple w:instr="NOTEREF _Ref_Footnote_10 \h \f">
        <w:r>
          <w:rPr>
            <w:vertAlign w:val="superscript"/>
          </w:rPr>
          <w:t>10</w:t>
        </w:r>
      </w:fldSimple>
      <w:r>
        <w:t xml:space="preserve">，转化为有证据、有步骤、有信心的行动者。这一转化率的提升，而非技术性能的完美，才是衡量产品成功的根本指标。</w:t>
      </w:r>
    </w:p>
    <w:p>
      <w:r>
        <w:pict>
          <v:rect style="width:0;height:1.5pt" o:hralign="center" o:hrstd="t" o:hr="t"/>
        </w:pict>
      </w:r>
    </w:p>
    <w:p>
      <w:pPr>
        <w:pStyle w:val="BlockText"/>
      </w:pPr>
      <w:r>
        <w:rPr>
          <w:bCs/>
          <w:b/>
        </w:rPr>
        <w:t xml:space="preserve">图表索引</w:t>
      </w:r>
      <w:r>
        <w:t xml:space="preserve">：本报告包含以下数据可视化图表，详见各章节引用：</w:t>
      </w:r>
      <w:r>
        <w:t xml:space="preserve"> </w:t>
      </w:r>
      <w:r>
        <w:t xml:space="preserve">- 图1-1：2019-2024年全国劳动人事争议案件增长趋势 (</w:t>
      </w:r>
      <w:r>
        <w:rPr>
          <w:rStyle w:val="VerbatimChar"/>
        </w:rPr>
        <w:t xml:space="preserve">labor_arb_chart_cases.png</w:t>
      </w:r>
      <w:r>
        <w:t xml:space="preserve">)</w:t>
      </w:r>
      <w:r>
        <w:t xml:space="preserve"> </w:t>
      </w:r>
      <w:r>
        <w:t xml:space="preserve">- 图2-1：劳动仲裁智能体功能模块架构图 (</w:t>
      </w:r>
      <w:r>
        <w:rPr>
          <w:rStyle w:val="VerbatimChar"/>
        </w:rPr>
        <w:t xml:space="preserve">labor_arb_chart_product.png</w:t>
      </w:r>
      <w:r>
        <w:t xml:space="preserve">)</w:t>
      </w:r>
      <w:r>
        <w:t xml:space="preserve"> </w:t>
      </w:r>
      <w:r>
        <w:t xml:space="preserve">- 图3-1：主流大模型法律基准测试得分对比 (</w:t>
      </w:r>
      <w:r>
        <w:rPr>
          <w:rStyle w:val="VerbatimChar"/>
        </w:rPr>
        <w:t xml:space="preserve">fig3_1_model_benchmark.png</w:t>
      </w:r>
      <w:r>
        <w:t xml:space="preserve">)</w:t>
      </w:r>
      <w:r>
        <w:t xml:space="preserve"> </w:t>
      </w:r>
      <w:r>
        <w:t xml:space="preserve">- 图5-1：MVP阶段收入预测（保守vs乐观情景） (</w:t>
      </w:r>
      <w:r>
        <w:rPr>
          <w:rStyle w:val="VerbatimChar"/>
        </w:rPr>
        <w:t xml:space="preserve">labor_arb_chart_revenue.png</w:t>
      </w:r>
      <w:r>
        <w:t xml:space="preserve">)</w:t>
      </w:r>
      <w:r>
        <w:t xml:space="preserve"> </w:t>
      </w:r>
      <w:r>
        <w:t xml:space="preserve">- 图6-1：MVP四阶段实施路线图 (</w:t>
      </w:r>
      <w:r>
        <w:rPr>
          <w:rStyle w:val="VerbatimChar"/>
        </w:rPr>
        <w:t xml:space="preserve">labor_arb_chart_roadmap.png</w:t>
      </w:r>
      <w:r>
        <w:t xml:space="preserve">)</w:t>
      </w:r>
    </w:p>
    <w:bookmarkEnd w:id="119"/>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知识酷(zhishicool.com). https://www.zhishi-shu.com/detail/1930189260571074560</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人人都是产品经理. https://www.woshipm.com/pd/6022226.html</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博客园. https://www.cnblogs.com/zhilvshe/p/19510964</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NovaTools. https://www.novatools.cn/tools/ailegal-baidu</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Summarize Meeting AI Tools. https://summarizemeeting.com/en/blog/is-gemini-api-free-complete-2025-pricing-guide-free-tier-rate-limits-and-cost-comparison</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网易. https://www.163.com/dy/article/KOSB3QTQ05561FZK.html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Information Security Stack Exchange. https://security.stackexchange.com/questions/279111/encryption-of-localstorage-indexeddb-with-server-side-pbkdf2-derived-secret-secu</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阿里云帮助中心. https://help.aliyun.com/zh/model-studio/tongyi-farui/</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博客园. https://www.cnblogs.com/yangykaifa/p/19488797</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rmzxw.com.cn. https://www.rmzxw.com.cn/zszq/gc/2014/10/28/398750_1.shtml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jianli.com. https://m.jianli.com/article/gyvrkp.html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微信公众号(律法之行). http://mp.weixin.qq.com/s?__biz=MzkxODI0OTI4OQ==&amp;mid=2247488100&amp;idx=1&amp;sn=fb16dd79e3e3e2c7edf2bbdf2c0785e7</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搜狐. https://www.sohu.com/a/973234405_122509279</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今日头条. https://www.toutiao.com/article/7354329832546763276/</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搜狐. https://www.sohu.com/a/917530650_100258568</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微信公众号(大Y先生). http://mp.weixin.qq.com/s?__biz=Mzk0NjcxODQ1MQ==&amp;mid=2247493560&amp;idx=1&amp;sn=e37e855ba562dde65998b54bedec7f79</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华律网. https://www.66law.cn/question/55381448.aspx</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律图. https://www.64365.com/zs/8035483.aspx</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baidu.com. http://word.baidu.com/view/67c25361d3d233d4b14e852458fb770bf68a3b6e.html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AI入口. https://www.airukou.cn/tool/vercel-ai-sdk</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arXiv.org. https://arxiv.org/html/2510.24476v1</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Frontiers. https://www.frontiersin.org/journals/artificial-intelligence/articles/10.3389/frai.2025.1622292/full</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Preprints. https://www.preprints.org/manuscript/202505.1955</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广州市花都区人民政府网站. https://www.huadu.gov.cn/attachment/7/7825/7825622/10182925.pdf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Github. https://github.com/lwnv9689/getreditus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CSDN博客. https://blog.csdn.net/gitblog_00020/article/details/151772087</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jxfy.gov.cn. https://ydxfy.jxfy.gov.cn/article/detail/2007/11/id/2644093.shtml</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233网校. https://www.233.com/sf/yijuan/zhenti/20100922/1431021-2.html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aipintai.com. https://www.aipintai.com/post/675</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微信公众号(安徽培鸿律师事务所团队). http://mp.weixin.qq.com/s?__biz=MzkyNjM1Njc3Mg==&amp;mid=2247492028&amp;idx=3&amp;sn=b44e8d85f68bcd842ead511c1f87cae8</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稀土掘金. https://juejin.cn/post/7606136581062033435</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ModelScope 魔搭社区. https://modelscope.cn/models/fengshan/ChatLaw-Text2Vec</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微信公众平台. http://mp.weixin.qq.com/s?__biz=Mzg2NDY5MjgxOA==&amp;mid=2247483663&amp;idx=5&amp;sn=315ba1e8e3e160227a021483b581366d</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杭州律师网. http://www.hzlawyer.net/uploadfile/202204/20220401140553670.pdf#:~:text=国人民代表大会常务委</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微信公众号(失业经理人). http://mp.weixin.qq.com/s?__biz=MzI2NDU0MDIwNA==&amp;mid=2247497019&amp;idx=2&amp;sn=97aa1c70e99d60fea48ed5e5f925a29a</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微信公众号(微办案). http://mp.weixin.qq.com/s?__biz=MzI5OTE2ODM3Mg==&amp;mid=2247484826&amp;idx=1&amp;sn=bf561a1c5f87a95bf603fc28b24a9324</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fujizil.com. https://www.fujizil.com/read-181069.html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hanspub.org. https://pdf.hanspub.org/ds_1081999.pdf</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Maryland State Bar Association (MSBA). https://www.msba.org/site/site/content/News-and-Publications/News/General-News/An_Overview_of_Harvey_AIs_Features_for_Lawyers.aspx</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rivalsense.co. https://rivalsense.co/intel/harvey-latest-news-updates-jan-22-2025-release/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虎嗅网. https://www.huxiu.com/article/4850995.html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hhpr.cn. https://www.hhpr.cn/zhongwei/yingxiao/3309.html</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专注于中小微代账公司成长. https://m.niuqiclub.com/news/298319.html</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微信公众号(大Y先生). http://mp.weixin.qq.com/s?__biz=Mzk0NjcxODQ1MQ==&amp;mid=2247493721&amp;idx=1&amp;sn=8453bc5866abc25e15dbe797ea01cd89</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微信公众平台. http://mp.weixin.qq.com/s?__biz=MzAxODcxMTI2Ng==&amp;mid=2651582875&amp;idx=1&amp;sn=556e8b20bb97db24bc3a243dee250ff6</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中华人民共和国最高人民检察院. https://www.spp.gov.cn/spp/llyj/202508/t20250806_703164.shtml</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wuhan.gov.cn. https://www.wuhan.gov.cn/ztzl/yjs/2020_52695/drz/whsrlzyhshbzj_36955/sndjs_36957/202110/P020250826576019205411.pdf</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hanspub.org. https://pdf.hanspub.org/ojls2025131_42923359.pdf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harvey.ai. https://www.harvey.ai/platform</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thomsonreuters.com. https://legal.thomsonreuters.com/en/products/cocounsel-legal</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PromptGalaxyAI. https://promptgalaxyai.com/tools/127</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火山引擎 ADG 社区. https://adg.csdn.net/696f27b3437a6b4033697f9a.html</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会用AI导航. https://www.hyaidh.com/content/category/sites5/831.html</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ZOL问答. https://ask.zol.com.cn/x/28836749.html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极客公园. https://www.geekpark.net/news/353582</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Thomson Reuters. https://www.thomsonreuters.com/en-us/posts/innovation/cocounsel-legal-is-redefining-professional-ai-in-the-uk-legal-market/</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VentureBeat. https://venturebeat.com/ai/thomson-reuters-unveils-cocounsel-leveraging-generative-ai-for-legal-professionals</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Business Research Insights. https://www.businessresearchinsights.com/zh/market-reports/online-legal-services-market-115206</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广州市人民政府门户网站. https://www.gz.gov.cn/xw/zwlb/bmdt/srlzyhshbzj/content/post_10146405.html</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mroldcat.top. https://www.mroldcat.top/detail/609</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aicerts.ai. https://www.aicerts.ai/news/thomson-reuters-legal-assistant-cocounsel-transforms-research/</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华律网. https://www.66law.cn/laws/6192575.aspx</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collegejy.cn. https://www.collegejy.cn/?m=home&amp;c=View&amp;a=index&amp;aid=2477</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Law.com. https://www.law.com/legaltechnews/2026/02/24/-thomson-reuters-announces-next-generation-of-cocounsel-legal-/</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Law.com. https://www.law.com/legaltechnews/2025/11/05/thomson-reuters-announces-upcoming-agentic-ai-features-for-cocounsel-legal-/</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PayPro Global. https://payproglobal.com/zh/%E8%A7%A3%E7%AD%94/saas-%E8%AF%95%E7%94%A8%E8%BD%AC%E5%8C%96%E7%8E%87%E6%98%AF%E4%BB%80%E4%B9%88/</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博客园. https://www.cnblogs.com/shidapinpaituijian/p/19395639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liehuxinghuo.com. https://modou.liehuxinghuo.com/chatgpt/1077.html</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toppeconsulting.com. https://toppeconsulting.com/cocounsel-vs-harvey-ai-vs-lexis-which-legal-ai-tool-delivers-the-best-roi-in-2025/</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hhpr.cn. https://www.hhpr.cn/jiamotang/yingxiao/8548.html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dfcfw.com. https://pdf.dfcfw.com/pdf/H3_AP202504061652296343_1.pdf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CC小助理. https://cc-ai-law.netlify.app/articles/%E5%BE%8B%E5%B8%88%E4%B8%AA%E4%BA%BAip%E6%89%93%E9%80%A0%E5%AD%A6%E4%B9%A0%E6%8A%A5%E5%91%8A/</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reasonlawyer.com. http://www.reasonlawyer.com/news_32/1067.html</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CORE. https://core.ac.uk/download/pdf/41340653.pdf</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上海交通大学中国法与社会研究院. http://www.socio-legal.sjtu.edu.cn/wxzy/info.aspx?itemid=5070</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微信公众号(简法法务咨询). http://mp.weixin.qq.com/s?__biz=Mzg5MjgyMTkyMw==&amp;mid=2247501898&amp;idx=1&amp;sn=d3a378f791fcbe7cea525ac1c858db4f</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Thomson Reuters. https://www.thomsonreuters.com/en-us/posts/innovation/cocounsel-legal-monthly-insider/</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智律云. https://autopilot.law/docs</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dudu123.com. https://www.dudu123.com/71862.html</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legalsupportnetwork.co.uk. https://www.legalsupportnetwork.co.uk/resource/thomson-reuters-expands-cocounsel-legal-to-uk-continuing-its-transformation-of-legal-work-with-agentic-ai-innovation/</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tldl.io. https://www.tldl.io/resources/llm-api-pricing-2026</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稀土掘金. https://juejin.cn/post/7614162326287958025</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微信公众号(精英会CLUB). http://mp.weixin.qq.com/s?__biz=Mzg2MTc1Njc0Ng==&amp;mid=2247495022&amp;idx=1&amp;sn=09bbe7b35dbd54a7096ae2a461b8e059</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promptden.com. https://promptden.com/blog/10-prompt-engineering-techniques-to-master-ai-in-2025</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CSDN博客. https://blog.csdn.net/qq_74248184/article/details/146229885</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fyopen.com. https://www.fyopen.com/industrySolution/1928360245078110210</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央广网. https://news.cnr.cn/native/gd/20251024/t20251024_527405911.shtml</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12333社保查询. https://www.12333si.com/jishu/2025010915514.html</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https://znhd.neimenggu.chinatax.gov.cn:8443/znhdzsknsrd/detail?id=397429</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百度百科. https://baike.baidu.com/item/%E5%9B%BD%E6%9C%89%EF%BC%88%E9%9B%86%E4%BD%93%EF%BC%89%E7%BB%8F%E6%B5%8E%E5%8D%95%E4%BD%8D%E8%81%8C%E5%B7%A5%E5%B7%A5%E8%B5%84%E6%80%A7%E6%94%B6%E5%85%A5/15107914</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FESCO. https://www.fesco.com.cn/newsDetails.html?id=106345</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脉脉. https://maimai.cn/article/detail?fid=1863612603&amp;efid=PAnwxPQrNfBD9svrtvHRJA</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51社保. https://www.51shebao.com/article/detail/8239</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腾讯云. https://cloud.tencent.com/developer/article/2598976</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KWM. https://www.zhongyinlawyer.com/Home/LibraryDetail?Title=%E5%8A%B3%E5%8A%A1%E6%B4%BE%E9%81%A3%2C%E5%8A%B3%E5%8A%A8%E5%90%88%E5%90%8C%2C%E6%97%A0%E5%9B%BA%E5%AE%9A%2C2026</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新浪财经. https://finance.sina.com.cn/roll/2025-04-30/doc-ineuxwex0326760.shtml</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深圳贝特莱电子科技股份有限公司-网站建设_深圳网站建设开发公司【极客印象】. https://geekeweb.com/website-building-knowledge/3IMbFbyBvdeo.html</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hhpr.cn. https://www.hhpr.cn/shangrao/yingxiao/8548.html</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i人事. https://www.ihr360.com/hrnews/202501201857.html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搜狐. https://www.sohu.com/a/903198493_121123754</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知乎专栏. https://zhuanlan.zhihu.com/p/1930240637824930911</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Journals at the University of Arizona. https://journals.librarypublishing.arizona.edu/azlawjet/article/5766/galley/5439/download/</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纷享销客CRM. https://www.fxiaoke.com/crm/information-84172.html</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经典老歌. https://www.jingdianlaoge.com/ai/xjWAmLWohJpb9WYJyuFOeZrTAKG8H5ldG3GR83cQ504.html</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伙伴云. https://www.huoban.com/story/8lZwqoork5NOP32o.html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天元律师事务所. https://www.tylaw.com.cn/Content/202603131553083325.html</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经典老歌. https://www.jingdianlaoge.com/ai/MP3cAvVNeUDtbp4iD4q0shTBZ2dA4cO1inHdLICnhI4.html</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Gitee. https://gitee.com/iyxl51/chatlaw?skip_mobile=true</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pkulaw.com. https://lifa.pkulaw.com/</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法宝AI平台. https://ai.pkulaw.com/</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sohu.com. https://m.sohu.com/a/946150388_121123754/?pvid=000115_3w_a</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CSDN博客. https://blog.csdn.net/HUANGXIN9898/article/details/149363810</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dudu123.com. https://www.dudu123.com/239161.html</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微信公众号(潮汐商业评论). http://mp.weixin.qq.com/s?__biz=MjM5NTIyNzY3Mg==&amp;mid=2651344764&amp;idx=2&amp;sn=535f93836602e801f70b5fdc35058fd5</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观研报告网. https://www.chinabaogao.com/pdf/64/38/626438.pdf</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Shuren Paper Network. http://wap.istpei.com/p-46055</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温州律师网. https://www.wzlawyers.cn/uploadfile/201806081528423055.pdf</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最高人民法院. https://www.court.gov.cn/zixun/xiangqing/480761.html</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简历网. https://www.jianli.com/article/gyvrkp.html</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微信公众号(法盟大咖圈). http://mp.weixin.qq.com/s?__biz=MzU4MTUyOTEzMQ==&amp;mid=2247501263&amp;idx=1&amp;sn=e2c31292f149931cd0781f5653abc441</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12309.gov.cn. https://login.12309.gov.cn:8443/spp/llyj/202502/t20250219_684271.shtml</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bjxsbhls.com. https://www.bjxsbhls.com/flgw/28590.html</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电子资源平台. https://libproxy.ruc.edu.cn/cwManager/profile/upload/2025/10/13/cfa2c535-6ca9-4cb2-8827-213770b7bc43.pdf</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澎湃新闻. https://m.thepaper.cn/newsDetail_forward_32393196</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浙江大学光华法学院图书馆. http://lawlib.zju.edu.cn/attachments/2020-11/01-1605441741-211873.pdf</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hiyoho.com. https://ai.hiyoho.com/sites/986.html</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百度知道. https://zhidao.baidu.com/question/745287696336577212.html</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硬地骇客. https://www.xiaoyuzhoufm.com/episode/685ab6b32a38b4d979552ce2</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今日头条. https://www.toutiao.com/article/7594380776993538610/</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新浪财经网. https://cj.sina.com.cn/articles/view/7857201856/1d45362c001902ycq0?froms=ggmp</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国浩律师事务所. https://www.grandall.com.cn/ghsd/info.aspx?itemid=31784</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legalpracticeintelligence.com. https://www.legalpracticeintelligence.com/blogs/technology-intelligence/thomson-reuters-expands-cocounsel-legal-to-the-uk?srsltid=AfmBOormshD-W6FzlsBevWDYxzuCev00tK0ZKuPr-4AmeVI7aFCUXstn</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Enterprise Times. https://www.enterprisetimes.co.uk/2026/01/26/thomson-reuters-launchthomson-reuters-launches-co-counsel-legal-in-the-ukes-co-counsel-in-the-uk/</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安全内参. https://www.secrss.com/articles/73681</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中国共产党新闻网. https://cpc.people.com.cn/n1/2024/0206/c64387-40174065.html</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haoyunlawyer.com. http://m.haoyunlawyer.com/hyxw/3361.html</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Yahoo Sports. https://sports.yahoo.com/articles/sports-business-minute-u-open-213824720.html</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i人事. https://www.ihr360.com/hrnews/202501189288.html</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seu.edu.cn. https://law.seu.edu.cn/_upload/article/0d/54/9d5fe9e3473abffb7939a1b356af/9fbc291b-7e38-4b59-b148-7b9774e34072.pdf</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OSCHINA. https://www.oschina.net/news/339950</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Arsum. https://arsum.com/blog/posts/ai-agent-frameworks/</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稀土掘金. https://juejin.cn/post/7617459773344890916</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中国证券登记结算有限责任公司. http://www.chinaclear.cn/old_files/1193647021107.pdf</w:t>
      </w:r>
      <w:bookmarkEnd w:id="1014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58" Target="media/rId58.png"/><Relationship Type="http://schemas.openxmlformats.org/officeDocument/2006/relationships/image" Id="rId26" Target="media/rId26.png"/><Relationship Type="http://schemas.openxmlformats.org/officeDocument/2006/relationships/image" Id="rId46" Target="media/rId46.png"/><Relationship Type="http://schemas.openxmlformats.org/officeDocument/2006/relationships/image" Id="rId88" Target="media/rId88.png"/><Relationship Type="http://schemas.openxmlformats.org/officeDocument/2006/relationships/image" Id="rId99" Target="media/rId99.png"/><Relationship Id="rId100"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2026-04-21T14:20:39Z</dcterms:created>
  <dcterms:modified xsi:type="dcterms:W3CDTF">2026-04-21T14:20:39Z</dcterms:modified>
</cp:coreProperties>
</file>

<file path=docProps/custom.xml><?xml version="1.0" encoding="utf-8"?>
<Properties xmlns="http://schemas.openxmlformats.org/officeDocument/2006/custom-properties" xmlns:vt="http://schemas.openxmlformats.org/officeDocument/2006/docPropsVTypes"/>
</file>