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E7490"/>
          <w:sz w:val="32"/>
        </w:rPr>
        <w:t>SHIPSAFE AI</w:t>
      </w:r>
    </w:p>
    <w:p>
      <w:pPr>
        <w:spacing w:before="320"/>
        <w:jc w:val="center"/>
      </w:pPr>
      <w:r>
        <w:rPr>
          <w:b/>
          <w:color w:val="0B1220"/>
          <w:sz w:val="60"/>
        </w:rPr>
        <w:t>THE PRODUCTION GUARDRAIL SYSTEM</w:t>
      </w:r>
    </w:p>
    <w:p>
      <w:pPr>
        <w:spacing w:before="200"/>
        <w:jc w:val="center"/>
      </w:pPr>
      <w:r>
        <w:rPr>
          <w:color w:val="334155"/>
          <w:sz w:val="28"/>
        </w:rPr>
        <w:t>Control, test, secure, recover, and launch AI-built applications with reviewable evidence.</w:t>
      </w:r>
    </w:p>
    <w:p>
      <w:pPr>
        <w:spacing w:before="720"/>
        <w:jc w:val="center"/>
      </w:pPr>
      <w:r>
        <w:rPr>
          <w:b/>
          <w:color w:val="0E7490"/>
          <w:sz w:val="20"/>
        </w:rPr>
        <w:t>CONTROL THE AGENT. PROTECT THE PROJECT. SHIP WITH EVIDENCE.</w:t>
      </w:r>
    </w:p>
    <w:p>
      <w:pPr>
        <w:spacing w:before="3000"/>
        <w:jc w:val="center"/>
      </w:pPr>
      <w:r>
        <w:rPr>
          <w:color w:val="64748B"/>
          <w:sz w:val="18"/>
        </w:rPr>
        <w:t>Version 1.0 | June 2026</w:t>
      </w:r>
    </w:p>
    <w:p>
      <w:r>
        <w:br w:type="page"/>
      </w:r>
    </w:p>
    <w:p>
      <w:pPr>
        <w:pStyle w:val="Title"/>
      </w:pPr>
      <w:r>
        <w:t>Operating Manual</w:t>
      </w:r>
    </w:p>
    <w:p>
      <w:pPr>
        <w:pStyle w:val="Subtitle"/>
      </w:pPr>
      <w:r>
        <w:t>For founders, vibe coders, software teams, reviewers, and agent-assisted builders</w:t>
      </w:r>
    </w:p>
    <w:tbl>
      <w:tblPr>
        <w:tblW w:type="auto" w:w="0"/>
        <w:jc w:val="center"/>
        <w:tblLayout w:type="fixed"/>
        <w:tblLook w:firstColumn="1" w:firstRow="1" w:lastColumn="0" w:lastRow="0" w:noHBand="0" w:noVBand="1" w:val="04A0"/>
      </w:tblPr>
      <w:tblGrid>
        <w:gridCol w:w="10080"/>
      </w:tblGrid>
      <w:tr>
        <w:tc>
          <w:tcPr>
            <w:tcW w:type="dxa" w:w="9648"/>
            <w:vAlign w:val="center"/>
            <w:shd w:fill="E0F2FE"/>
            <w:tcBorders>
              <w:top w:val="single" w:sz="8" w:color="0E7490"/>
              <w:left w:val="single" w:sz="8" w:color="0E7490"/>
              <w:bottom w:val="single" w:sz="8" w:color="0E7490"/>
              <w:right w:val="single" w:sz="8" w:color="0E7490"/>
            </w:tcBorders>
          </w:tcPr>
          <w:p>
            <w:r>
              <w:rPr>
                <w:b/>
                <w:color w:val="0B1220"/>
                <w:sz w:val="21"/>
              </w:rPr>
              <w:t>THE CORE RULE</w:t>
              <w:br/>
            </w:r>
            <w:r>
              <w:rPr>
                <w:color w:val="334155"/>
                <w:sz w:val="18"/>
              </w:rPr>
              <w:t>An AI coding agent saying “done” is not evidence. A release is ready only when its behavior, access boundaries, security controls, recovery path, and acceptance criteria are independently verified.</w:t>
            </w:r>
          </w:p>
        </w:tc>
      </w:tr>
    </w:tbl>
    <w:p/>
    <w:p>
      <w:pPr>
        <w:pStyle w:val="Heading1"/>
      </w:pPr>
      <w:r>
        <w:t>Legal and operational notice</w:t>
      </w:r>
    </w:p>
    <w:p>
      <w:r>
        <w:t>SHIPSAFE AI is a general engineering control framework. It is not a security guarantee, penetration test, compliance certification, or substitute for qualified engineering, security, privacy, or legal review of high-risk systems. The project owner remains responsible for access, credentials, data, testing, production decisions, monitoring, backups, and incident response.</w:t>
      </w:r>
    </w:p>
    <w:p>
      <w:pPr>
        <w:pStyle w:val="Heading1"/>
      </w:pPr>
      <w:r>
        <w:t>Contents</w:t>
      </w:r>
    </w:p>
    <w:p>
      <w:pPr>
        <w:pStyle w:val="ListNumber"/>
      </w:pPr>
      <w:r>
        <w:t>1. The SHIPSAFE doctrine</w:t>
      </w:r>
    </w:p>
    <w:p>
      <w:pPr>
        <w:pStyle w:val="ListNumber"/>
      </w:pPr>
      <w:r>
        <w:t>2. The five launch gates</w:t>
      </w:r>
    </w:p>
    <w:p>
      <w:pPr>
        <w:pStyle w:val="ListNumber"/>
      </w:pPr>
      <w:r>
        <w:t>3. Install the control layer</w:t>
      </w:r>
    </w:p>
    <w:p>
      <w:pPr>
        <w:pStyle w:val="ListNumber"/>
      </w:pPr>
      <w:r>
        <w:t>4. Lock scope and protected behavior</w:t>
      </w:r>
    </w:p>
    <w:p>
      <w:pPr>
        <w:pStyle w:val="ListNumber"/>
      </w:pPr>
      <w:r>
        <w:t>5. Run agent work safely</w:t>
      </w:r>
    </w:p>
    <w:p>
      <w:pPr>
        <w:pStyle w:val="ListNumber"/>
      </w:pPr>
      <w:r>
        <w:t>6. Verify functional correctness</w:t>
      </w:r>
    </w:p>
    <w:p>
      <w:pPr>
        <w:pStyle w:val="ListNumber"/>
      </w:pPr>
      <w:r>
        <w:t>7. Test authentication and authorization</w:t>
      </w:r>
    </w:p>
    <w:p>
      <w:pPr>
        <w:pStyle w:val="ListNumber"/>
      </w:pPr>
      <w:r>
        <w:t>8. Protect data, secrets, and dependencies</w:t>
      </w:r>
    </w:p>
    <w:p>
      <w:pPr>
        <w:pStyle w:val="ListNumber"/>
      </w:pPr>
      <w:r>
        <w:t>9. Control AI-specific risk</w:t>
      </w:r>
    </w:p>
    <w:p>
      <w:pPr>
        <w:pStyle w:val="ListNumber"/>
      </w:pPr>
      <w:r>
        <w:t>10. Deploy with checkpoints and rollback</w:t>
      </w:r>
    </w:p>
    <w:p>
      <w:pPr>
        <w:pStyle w:val="ListNumber"/>
      </w:pPr>
      <w:r>
        <w:t>11. Score readiness and decide</w:t>
      </w:r>
    </w:p>
    <w:p>
      <w:pPr>
        <w:pStyle w:val="ListNumber"/>
      </w:pPr>
      <w:r>
        <w:t>12. Recover from a damaged project</w:t>
      </w:r>
    </w:p>
    <w:p>
      <w:pPr>
        <w:pStyle w:val="ListNumber"/>
      </w:pPr>
      <w:r>
        <w:t>13. Convert a capstone into a credible portfolio asset</w:t>
      </w:r>
    </w:p>
    <w:p>
      <w:pPr>
        <w:pStyle w:val="ListNumber"/>
      </w:pPr>
      <w:r>
        <w:t>14. Sixty-minute implementation plan</w:t>
      </w:r>
    </w:p>
    <w:p>
      <w:pPr>
        <w:pStyle w:val="ListNumber"/>
      </w:pPr>
      <w:r>
        <w:t>Appendix A: fast test</w:t>
      </w:r>
    </w:p>
    <w:p>
      <w:pPr>
        <w:pStyle w:val="ListNumber"/>
      </w:pPr>
      <w:r>
        <w:t>Appendix B: evidence standard</w:t>
      </w:r>
    </w:p>
    <w:p>
      <w:pPr>
        <w:pStyle w:val="ListNumber"/>
      </w:pPr>
      <w:r>
        <w:t>Appendix C: file map and references</w:t>
      </w:r>
    </w:p>
    <w:p>
      <w:r>
        <w:br w:type="page"/>
      </w:r>
    </w:p>
    <w:p>
      <w:pPr>
        <w:pStyle w:val="Heading1"/>
      </w:pPr>
      <w:r>
        <w:t>1. The SHIPSAFE doctrine</w:t>
      </w:r>
    </w:p>
    <w:p>
      <w:r>
        <w:t>AI coding tools can inspect repositories, edit many files, run commands, change configuration, and interact with external systems. Their leverage is exactly why project control cannot be reduced to a well-written prompt.</w:t>
      </w:r>
    </w:p>
    <w:p>
      <w:r>
        <w:t>SHIPSAFE separates generation from verification. The agent may propose and implement work, but the project defines authority, evidence, and launch decisions outside the model’s self-assessment.</w:t>
      </w:r>
    </w:p>
    <w:p>
      <w:pPr>
        <w:pStyle w:val="ListBullet"/>
      </w:pPr>
      <w:r>
        <w:t>Control: define scope, permissions, protected behavior, and approval gates.</w:t>
      </w:r>
    </w:p>
    <w:p>
      <w:pPr>
        <w:pStyle w:val="ListBullet"/>
      </w:pPr>
      <w:r>
        <w:t>Evidence: require observable tests, diffs, commands, and acceptance-criteria results.</w:t>
      </w:r>
    </w:p>
    <w:p>
      <w:pPr>
        <w:pStyle w:val="ListBullet"/>
      </w:pPr>
      <w:r>
        <w:t>Recovery: preserve a known-good state before high-risk work.</w:t>
      </w:r>
    </w:p>
    <w:p>
      <w:pPr>
        <w:pStyle w:val="ListBullet"/>
      </w:pPr>
      <w:r>
        <w:t>Least privilege: grant only the access and authority required for the task.</w:t>
      </w:r>
    </w:p>
    <w:p>
      <w:pPr>
        <w:pStyle w:val="ListBullet"/>
      </w:pPr>
      <w:r>
        <w:t>Honest failure: a visible failure is safer than fabricated or silently substituted success.</w:t>
      </w:r>
    </w:p>
    <w:p>
      <w:r>
        <w:br w:type="page"/>
      </w:r>
    </w:p>
    <w:p>
      <w:pPr>
        <w:pStyle w:val="Heading1"/>
      </w:pPr>
      <w:r>
        <w:t>2. The five launch gates</w:t>
      </w:r>
    </w:p>
    <w:p>
      <w:r>
        <w:t>A product should pass five independent gates. Failing or not verifying a Critical control blocks launch.</w:t>
      </w:r>
    </w:p>
    <w:p>
      <w:pPr>
        <w:pStyle w:val="ListBullet"/>
      </w:pPr>
      <w:r>
        <w:t>Gate 1 - Defined: objective, user, scope, architecture, data, and acceptance criteria are explicit.</w:t>
      </w:r>
    </w:p>
    <w:p>
      <w:pPr>
        <w:pStyle w:val="ListBullet"/>
      </w:pPr>
      <w:r>
        <w:t>Gate 2 - Controlled: agent instructions, protected files, permissions, and approval gates are active.</w:t>
      </w:r>
    </w:p>
    <w:p>
      <w:pPr>
        <w:pStyle w:val="ListBullet"/>
      </w:pPr>
      <w:r>
        <w:t>Gate 3 - Verified: functional, regression, failure-mode, access-control, and security checks produce evidence.</w:t>
      </w:r>
    </w:p>
    <w:p>
      <w:pPr>
        <w:pStyle w:val="ListBullet"/>
      </w:pPr>
      <w:r>
        <w:t>Gate 4 - Recoverable: version-control checkpoint, migration/data recovery, configuration recovery, and rollback are tested.</w:t>
      </w:r>
    </w:p>
    <w:p>
      <w:pPr>
        <w:pStyle w:val="ListBullet"/>
      </w:pPr>
      <w:r>
        <w:t>Gate 5 - Operable: production configuration, monitoring, quotas, ownership, and post-deploy checks are ready.</w:t>
      </w:r>
    </w:p>
    <w:p>
      <w:r>
        <w:br w:type="page"/>
      </w:r>
    </w:p>
    <w:p>
      <w:pPr>
        <w:pStyle w:val="Heading1"/>
      </w:pPr>
      <w:r>
        <w:t>3. Install the control layer</w:t>
      </w:r>
    </w:p>
    <w:p>
      <w:r>
        <w:t>Place persistent instructions where the chosen coding tool reads them, then keep the detailed project truth in shared neutral files. OpenAI Codex supports AGENTS.md, Claude Code supports CLAUDE.md and rule files, and Gemini CLI supports GEMINI.md context files. Tool-specific files should point to the same project context rather than develop conflicting versions of the truth.</w:t>
      </w:r>
    </w:p>
    <w:p>
      <w:pPr>
        <w:pStyle w:val="ListBullet"/>
      </w:pPr>
      <w:r>
        <w:t>Copy the matching instruction file from 01_AGENT_GUARDRAILS into the project root.</w:t>
      </w:r>
    </w:p>
    <w:p>
      <w:pPr>
        <w:pStyle w:val="ListBullet"/>
      </w:pPr>
      <w:r>
        <w:t>Copy UNIVERSAL_PROJECT_GUARDRAILS.md into the root.</w:t>
      </w:r>
    </w:p>
    <w:p>
      <w:pPr>
        <w:pStyle w:val="ListBullet"/>
      </w:pPr>
      <w:r>
        <w:t>Copy PROJECT_CONTEXT.md, SCOPE_LOCK.md, ACCEPTANCE_CRITERIA.md, PROTECTED_FILES.md, and DEFINITION_OF_DONE.md.</w:t>
      </w:r>
    </w:p>
    <w:p>
      <w:pPr>
        <w:pStyle w:val="ListBullet"/>
      </w:pPr>
      <w:r>
        <w:t>Fill the files before the next material coding task.</w:t>
      </w:r>
    </w:p>
    <w:p>
      <w:pPr>
        <w:pStyle w:val="ListBullet"/>
      </w:pPr>
      <w:r>
        <w:t>Tell the agent to read them before planning or editing.</w:t>
      </w:r>
    </w:p>
    <w:p>
      <w:pPr>
        <w:pStyle w:val="ListBullet"/>
      </w:pPr>
      <w:r>
        <w:t>Keep the top-level instructions concise and link to task-specific detail.</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0B1220"/>
          </w:tcPr>
          <w:p>
            <w:r>
              <w:rPr>
                <w:b/>
                <w:color w:val="FFFFFF"/>
                <w:sz w:val="17"/>
              </w:rPr>
              <w:t>Tool</w:t>
            </w:r>
          </w:p>
        </w:tc>
        <w:tc>
          <w:tcPr>
            <w:tcW w:type="dxa" w:w="2736"/>
            <w:shd w:fill="0B1220"/>
          </w:tcPr>
          <w:p>
            <w:r>
              <w:rPr>
                <w:b/>
                <w:color w:val="FFFFFF"/>
                <w:sz w:val="17"/>
              </w:rPr>
              <w:t>Persistent project file</w:t>
            </w:r>
          </w:p>
        </w:tc>
        <w:tc>
          <w:tcPr>
            <w:tcW w:type="dxa" w:w="4464"/>
            <w:shd w:fill="0B1220"/>
          </w:tcPr>
          <w:p>
            <w:r>
              <w:rPr>
                <w:b/>
                <w:color w:val="FFFFFF"/>
                <w:sz w:val="17"/>
              </w:rPr>
              <w:t>Included asset</w:t>
            </w:r>
          </w:p>
        </w:tc>
      </w:tr>
      <w:tr>
        <w:tc>
          <w:tcPr>
            <w:tcW w:type="dxa" w:w="2016"/>
            <w:vAlign w:val="top"/>
          </w:tcPr>
          <w:p>
            <w:r>
              <w:rPr>
                <w:sz w:val="16"/>
              </w:rPr>
              <w:t>OpenAI Codex</w:t>
            </w:r>
          </w:p>
        </w:tc>
        <w:tc>
          <w:tcPr>
            <w:tcW w:type="dxa" w:w="2736"/>
            <w:vAlign w:val="top"/>
          </w:tcPr>
          <w:p>
            <w:r>
              <w:rPr>
                <w:sz w:val="16"/>
              </w:rPr>
              <w:t>AGENTS.md</w:t>
            </w:r>
          </w:p>
        </w:tc>
        <w:tc>
          <w:tcPr>
            <w:tcW w:type="dxa" w:w="4464"/>
            <w:vAlign w:val="top"/>
          </w:tcPr>
          <w:p>
            <w:r>
              <w:rPr>
                <w:sz w:val="16"/>
              </w:rPr>
              <w:t>01_AGENT_GUARDRAILS/AGENTS.md</w:t>
            </w:r>
          </w:p>
        </w:tc>
      </w:tr>
      <w:tr>
        <w:tc>
          <w:tcPr>
            <w:tcW w:type="dxa" w:w="2016"/>
            <w:vAlign w:val="top"/>
          </w:tcPr>
          <w:p>
            <w:r>
              <w:rPr>
                <w:sz w:val="16"/>
              </w:rPr>
              <w:t>Anthropic Claude Code</w:t>
            </w:r>
          </w:p>
        </w:tc>
        <w:tc>
          <w:tcPr>
            <w:tcW w:type="dxa" w:w="2736"/>
            <w:vAlign w:val="top"/>
          </w:tcPr>
          <w:p>
            <w:r>
              <w:rPr>
                <w:sz w:val="16"/>
              </w:rPr>
              <w:t>CLAUDE.md</w:t>
            </w:r>
          </w:p>
        </w:tc>
        <w:tc>
          <w:tcPr>
            <w:tcW w:type="dxa" w:w="4464"/>
            <w:vAlign w:val="top"/>
          </w:tcPr>
          <w:p>
            <w:r>
              <w:rPr>
                <w:sz w:val="16"/>
              </w:rPr>
              <w:t>01_AGENT_GUARDRAILS/CLAUDE.md</w:t>
            </w:r>
          </w:p>
        </w:tc>
      </w:tr>
      <w:tr>
        <w:tc>
          <w:tcPr>
            <w:tcW w:type="dxa" w:w="2016"/>
            <w:vAlign w:val="top"/>
          </w:tcPr>
          <w:p>
            <w:r>
              <w:rPr>
                <w:sz w:val="16"/>
              </w:rPr>
              <w:t>Google Gemini CLI</w:t>
            </w:r>
          </w:p>
        </w:tc>
        <w:tc>
          <w:tcPr>
            <w:tcW w:type="dxa" w:w="2736"/>
            <w:vAlign w:val="top"/>
          </w:tcPr>
          <w:p>
            <w:r>
              <w:rPr>
                <w:sz w:val="16"/>
              </w:rPr>
              <w:t>GEMINI.md</w:t>
            </w:r>
          </w:p>
        </w:tc>
        <w:tc>
          <w:tcPr>
            <w:tcW w:type="dxa" w:w="4464"/>
            <w:vAlign w:val="top"/>
          </w:tcPr>
          <w:p>
            <w:r>
              <w:rPr>
                <w:sz w:val="16"/>
              </w:rPr>
              <w:t>01_AGENT_GUARDRAILS/GEMINI.md</w:t>
            </w:r>
          </w:p>
        </w:tc>
      </w:tr>
      <w:tr>
        <w:tc>
          <w:tcPr>
            <w:tcW w:type="dxa" w:w="2016"/>
            <w:vAlign w:val="top"/>
          </w:tcPr>
          <w:p>
            <w:r>
              <w:rPr>
                <w:sz w:val="16"/>
              </w:rPr>
              <w:t>Cursor</w:t>
            </w:r>
          </w:p>
        </w:tc>
        <w:tc>
          <w:tcPr>
            <w:tcW w:type="dxa" w:w="2736"/>
            <w:vAlign w:val="top"/>
          </w:tcPr>
          <w:p>
            <w:r>
              <w:rPr>
                <w:sz w:val="16"/>
              </w:rPr>
              <w:t>Project rule</w:t>
            </w:r>
          </w:p>
        </w:tc>
        <w:tc>
          <w:tcPr>
            <w:tcW w:type="dxa" w:w="4464"/>
            <w:vAlign w:val="top"/>
          </w:tcPr>
          <w:p>
            <w:r>
              <w:rPr>
                <w:sz w:val="16"/>
              </w:rPr>
              <w:t>01_AGENT_GUARDRAILS/.cursor/rules/shipsafe.mdc</w:t>
            </w:r>
          </w:p>
        </w:tc>
      </w:tr>
      <w:tr>
        <w:tc>
          <w:tcPr>
            <w:tcW w:type="dxa" w:w="2016"/>
            <w:vAlign w:val="top"/>
          </w:tcPr>
          <w:p>
            <w:r>
              <w:rPr>
                <w:sz w:val="16"/>
              </w:rPr>
              <w:t>Any agent</w:t>
            </w:r>
          </w:p>
        </w:tc>
        <w:tc>
          <w:tcPr>
            <w:tcW w:type="dxa" w:w="2736"/>
            <w:vAlign w:val="top"/>
          </w:tcPr>
          <w:p>
            <w:r>
              <w:rPr>
                <w:sz w:val="16"/>
              </w:rPr>
              <w:t>Neutral shared policy</w:t>
            </w:r>
          </w:p>
        </w:tc>
        <w:tc>
          <w:tcPr>
            <w:tcW w:type="dxa" w:w="4464"/>
            <w:vAlign w:val="top"/>
          </w:tcPr>
          <w:p>
            <w:r>
              <w:rPr>
                <w:sz w:val="16"/>
              </w:rPr>
              <w:t>UNIVERSAL_PROJECT_GUARDRAILS.md</w:t>
            </w:r>
          </w:p>
        </w:tc>
      </w:tr>
    </w:tbl>
    <w:p/>
    <w:p>
      <w:r>
        <w:br w:type="page"/>
      </w:r>
    </w:p>
    <w:p>
      <w:pPr>
        <w:pStyle w:val="Heading1"/>
      </w:pPr>
      <w:r>
        <w:t>4. Lock scope and protected behavior</w:t>
      </w:r>
    </w:p>
    <w:p>
      <w:r>
        <w:t>The first protection against an agent breaking the product is an enforceable definition of what the task is and is not. Scope is not a feature list alone; it also names behavior that must remain unchanged.</w:t>
      </w:r>
    </w:p>
    <w:tbl>
      <w:tblPr>
        <w:tblW w:type="auto" w:w="0"/>
        <w:jc w:val="center"/>
        <w:tblLayout w:type="fixed"/>
        <w:tblLook w:firstColumn="1" w:firstRow="1" w:lastColumn="0" w:lastRow="0" w:noHBand="0" w:noVBand="1" w:val="04A0"/>
      </w:tblPr>
      <w:tblGrid>
        <w:gridCol w:w="10080"/>
      </w:tblGrid>
      <w:tr>
        <w:tc>
          <w:tcPr>
            <w:tcW w:type="dxa" w:w="9648"/>
            <w:vAlign w:val="center"/>
            <w:shd w:fill="ECFEFF"/>
            <w:tcBorders>
              <w:top w:val="single" w:sz="8" w:color="0E7490"/>
              <w:left w:val="single" w:sz="8" w:color="0E7490"/>
              <w:bottom w:val="single" w:sz="8" w:color="0E7490"/>
              <w:right w:val="single" w:sz="8" w:color="0E7490"/>
            </w:tcBorders>
          </w:tcPr>
          <w:p>
            <w:r>
              <w:rPr>
                <w:b/>
                <w:color w:val="0B1220"/>
                <w:sz w:val="21"/>
              </w:rPr>
              <w:t>SCOPE-LOCK TEST</w:t>
              <w:br/>
            </w:r>
            <w:r>
              <w:rPr>
                <w:color w:val="334155"/>
                <w:sz w:val="18"/>
              </w:rPr>
              <w:t>Could a reviewer determine that the agent changed something outside authority without asking the original requester? If not, the scope is not specific enough.</w:t>
            </w:r>
          </w:p>
        </w:tc>
      </w:tr>
    </w:tbl>
    <w:p/>
    <w:p>
      <w:pPr>
        <w:pStyle w:val="Heading2"/>
      </w:pPr>
      <w:r>
        <w:t>Write testable acceptance criteria</w:t>
      </w:r>
    </w:p>
    <w:p>
      <w:r>
        <w:t>Use condition-action-result language. Every criterion should name the user/system state, the action, the observable result, and the method of verification.</w:t>
      </w:r>
    </w:p>
    <w:tbl>
      <w:tblPr>
        <w:tblStyle w:val="TableGrid"/>
        <w:tblW w:type="auto" w:w="0"/>
        <w:jc w:val="center"/>
        <w:tblLook w:firstColumn="1" w:firstRow="1" w:lastColumn="0" w:lastRow="0" w:noHBand="0" w:noVBand="1" w:val="04A0"/>
      </w:tblPr>
      <w:tblGrid>
        <w:gridCol w:w="5040"/>
        <w:gridCol w:w="5040"/>
      </w:tblGrid>
      <w:tr>
        <w:tc>
          <w:tcPr>
            <w:tcW w:type="dxa" w:w="3312"/>
            <w:shd w:fill="0B1220"/>
          </w:tcPr>
          <w:p>
            <w:r>
              <w:rPr>
                <w:b/>
                <w:color w:val="FFFFFF"/>
                <w:sz w:val="17"/>
              </w:rPr>
              <w:t>Weak criterion</w:t>
            </w:r>
          </w:p>
        </w:tc>
        <w:tc>
          <w:tcPr>
            <w:tcW w:type="dxa" w:w="5904"/>
            <w:shd w:fill="0B1220"/>
          </w:tcPr>
          <w:p>
            <w:r>
              <w:rPr>
                <w:b/>
                <w:color w:val="FFFFFF"/>
                <w:sz w:val="17"/>
              </w:rPr>
              <w:t>Controlled criterion</w:t>
            </w:r>
          </w:p>
        </w:tc>
      </w:tr>
      <w:tr>
        <w:tc>
          <w:tcPr>
            <w:tcW w:type="dxa" w:w="3312"/>
            <w:vAlign w:val="top"/>
          </w:tcPr>
          <w:p>
            <w:r>
              <w:rPr>
                <w:sz w:val="16"/>
              </w:rPr>
              <w:t>Make login secure.</w:t>
            </w:r>
          </w:p>
        </w:tc>
        <w:tc>
          <w:tcPr>
            <w:tcW w:type="dxa" w:w="5904"/>
            <w:vAlign w:val="top"/>
          </w:tcPr>
          <w:p>
            <w:r>
              <w:rPr>
                <w:sz w:val="16"/>
              </w:rPr>
              <w:t>Given a suspended account with an existing session, when it calls a protected write endpoint, the server returns a denial and no record changes.</w:t>
            </w:r>
          </w:p>
        </w:tc>
      </w:tr>
      <w:tr>
        <w:tc>
          <w:tcPr>
            <w:tcW w:type="dxa" w:w="3312"/>
            <w:vAlign w:val="top"/>
          </w:tcPr>
          <w:p>
            <w:r>
              <w:rPr>
                <w:sz w:val="16"/>
              </w:rPr>
              <w:t>Improve error handling.</w:t>
            </w:r>
          </w:p>
        </w:tc>
        <w:tc>
          <w:tcPr>
            <w:tcW w:type="dxa" w:w="5904"/>
            <w:vAlign w:val="top"/>
          </w:tcPr>
          <w:p>
            <w:r>
              <w:rPr>
                <w:sz w:val="16"/>
              </w:rPr>
              <w:t>When the payment provider times out, the user sees a recoverable failure, no entitlement is created, and the event is logged without sensitive data.</w:t>
            </w:r>
          </w:p>
        </w:tc>
      </w:tr>
      <w:tr>
        <w:tc>
          <w:tcPr>
            <w:tcW w:type="dxa" w:w="3312"/>
            <w:vAlign w:val="top"/>
          </w:tcPr>
          <w:p>
            <w:r>
              <w:rPr>
                <w:sz w:val="16"/>
              </w:rPr>
              <w:t>Do not break the dashboard.</w:t>
            </w:r>
          </w:p>
        </w:tc>
        <w:tc>
          <w:tcPr>
            <w:tcW w:type="dxa" w:w="5904"/>
            <w:vAlign w:val="top"/>
          </w:tcPr>
          <w:p>
            <w:r>
              <w:rPr>
                <w:sz w:val="16"/>
              </w:rPr>
              <w:t>All listed dashboard regression tests pass and the final diff does not alter protected routes or data queries.</w:t>
            </w:r>
          </w:p>
        </w:tc>
      </w:tr>
    </w:tbl>
    <w:p/>
    <w:p>
      <w:pPr>
        <w:pStyle w:val="Heading2"/>
      </w:pPr>
      <w:r>
        <w:t>Create protected behavior</w:t>
      </w:r>
    </w:p>
    <w:p>
      <w:pPr>
        <w:pStyle w:val="ListBullet"/>
      </w:pPr>
      <w:r>
        <w:t>List files/components that require explicit approval before change.</w:t>
      </w:r>
    </w:p>
    <w:p>
      <w:pPr>
        <w:pStyle w:val="ListBullet"/>
      </w:pPr>
      <w:r>
        <w:t>List user journeys that already work and the tests/evidence that prove them.</w:t>
      </w:r>
    </w:p>
    <w:p>
      <w:pPr>
        <w:pStyle w:val="ListBullet"/>
      </w:pPr>
      <w:r>
        <w:t>List public interfaces, database contracts, events, and external integrations that must remain compatible.</w:t>
      </w:r>
    </w:p>
    <w:p>
      <w:pPr>
        <w:pStyle w:val="ListBullet"/>
      </w:pPr>
      <w:r>
        <w:t>List data or operations that must never enter AI prompts or logs.</w:t>
      </w:r>
    </w:p>
    <w:p>
      <w:r>
        <w:br w:type="page"/>
      </w:r>
    </w:p>
    <w:p>
      <w:pPr>
        <w:pStyle w:val="Heading1"/>
      </w:pPr>
      <w:r>
        <w:t>5. Run agent work safely</w:t>
      </w:r>
    </w:p>
    <w:p>
      <w:pPr>
        <w:pStyle w:val="Heading2"/>
      </w:pPr>
      <w:r>
        <w:t>The inspect-plan-checkpoint-change-verify-report loop</w:t>
      </w:r>
    </w:p>
    <w:p>
      <w:pPr>
        <w:pStyle w:val="ListNumber"/>
      </w:pPr>
      <w:r>
        <w:t>Inspect the relevant implementation, tests, configuration, history, and project controls.</w:t>
      </w:r>
    </w:p>
    <w:p>
      <w:pPr>
        <w:pStyle w:val="ListNumber"/>
      </w:pPr>
      <w:r>
        <w:t>Plan the smallest viable change and identify risk.</w:t>
      </w:r>
    </w:p>
    <w:p>
      <w:pPr>
        <w:pStyle w:val="ListNumber"/>
      </w:pPr>
      <w:r>
        <w:t>Checkpoint before high-risk work.</w:t>
      </w:r>
    </w:p>
    <w:p>
      <w:pPr>
        <w:pStyle w:val="ListNumber"/>
      </w:pPr>
      <w:r>
        <w:t>Implement the narrow change without unrelated rewriting.</w:t>
      </w:r>
    </w:p>
    <w:p>
      <w:pPr>
        <w:pStyle w:val="ListNumber"/>
      </w:pPr>
      <w:r>
        <w:t>Run focused tests and relevant regression/security checks.</w:t>
      </w:r>
    </w:p>
    <w:p>
      <w:pPr>
        <w:pStyle w:val="ListNumber"/>
      </w:pPr>
      <w:r>
        <w:t>Review the diff and execution evidence.</w:t>
      </w:r>
    </w:p>
    <w:p>
      <w:pPr>
        <w:pStyle w:val="ListNumber"/>
      </w:pPr>
      <w:r>
        <w:t>Report completion, remaining risk, and rollback.</w:t>
      </w:r>
    </w:p>
    <w:tbl>
      <w:tblPr>
        <w:tblW w:type="auto" w:w="0"/>
        <w:jc w:val="center"/>
        <w:tblLayout w:type="fixed"/>
        <w:tblLook w:firstColumn="1" w:firstRow="1" w:lastColumn="0" w:lastRow="0" w:noHBand="0" w:noVBand="1" w:val="04A0"/>
      </w:tblPr>
      <w:tblGrid>
        <w:gridCol w:w="10080"/>
      </w:tblGrid>
      <w:tr>
        <w:tc>
          <w:tcPr>
            <w:tcW w:type="dxa" w:w="9648"/>
            <w:vAlign w:val="center"/>
            <w:shd w:fill="E0F2FE"/>
            <w:tcBorders>
              <w:top w:val="single" w:sz="8" w:color="0E7490"/>
              <w:left w:val="single" w:sz="8" w:color="0E7490"/>
              <w:bottom w:val="single" w:sz="8" w:color="0E7490"/>
              <w:right w:val="single" w:sz="8" w:color="0E7490"/>
            </w:tcBorders>
          </w:tcPr>
          <w:p>
            <w:r>
              <w:rPr>
                <w:b/>
                <w:color w:val="0B1220"/>
                <w:sz w:val="21"/>
              </w:rPr>
              <w:t>STOP CONDITIONS</w:t>
              <w:br/>
            </w:r>
            <w:r>
              <w:rPr>
                <w:color w:val="334155"/>
                <w:sz w:val="18"/>
              </w:rPr>
              <w:t>Stop and request a decision when requirements conflict, a destructive command is proposed, the agent needs broader authority, critical context is missing, a production or credential action is required, or the only path to “success” weakens verification.</w:t>
            </w:r>
          </w:p>
        </w:tc>
      </w:tr>
    </w:tbl>
    <w:p/>
    <w:p>
      <w:pPr>
        <w:pStyle w:val="Heading2"/>
      </w:pPr>
      <w:r>
        <w:t>Forbidden shortcuts</w:t>
      </w:r>
    </w:p>
    <w:p>
      <w:pPr>
        <w:pStyle w:val="ListBullet"/>
      </w:pPr>
      <w:r>
        <w:t>Replacing a real integration with mock/static data without explicit disclosure and approval.</w:t>
      </w:r>
    </w:p>
    <w:p>
      <w:pPr>
        <w:pStyle w:val="ListBullet"/>
      </w:pPr>
      <w:r>
        <w:t>Catch-all exception handling that converts failure into an empty or successful response.</w:t>
      </w:r>
    </w:p>
    <w:p>
      <w:pPr>
        <w:pStyle w:val="ListBullet"/>
      </w:pPr>
      <w:r>
        <w:t>Removing tests, validation, authorization, rate limits, logs, or security checks to obtain a pass.</w:t>
      </w:r>
    </w:p>
    <w:p>
      <w:pPr>
        <w:pStyle w:val="ListBullet"/>
      </w:pPr>
      <w:r>
        <w:t>Large file or framework rewrites when a targeted patch is viable.</w:t>
      </w:r>
    </w:p>
    <w:p>
      <w:pPr>
        <w:pStyle w:val="ListBullet"/>
      </w:pPr>
      <w:r>
        <w:t>Using production credentials or customer data as convenient development input.</w:t>
      </w:r>
    </w:p>
    <w:p>
      <w:pPr>
        <w:pStyle w:val="ListBullet"/>
      </w:pPr>
      <w:r>
        <w:t>Claiming a check passed without showing the method and result.</w:t>
      </w:r>
    </w:p>
    <w:p>
      <w:r>
        <w:br w:type="page"/>
      </w:r>
    </w:p>
    <w:p>
      <w:pPr>
        <w:pStyle w:val="Heading1"/>
      </w:pPr>
      <w:r>
        <w:t>6. Verify functional correctness</w:t>
      </w:r>
    </w:p>
    <w:p>
      <w:r>
        <w:t>AI-generated projects often look complete before their real integrations, state transitions, and failure behavior are correct. Functional verification must distinguish a rendered interface from a working system.</w:t>
      </w:r>
    </w:p>
    <w:p>
      <w:pPr>
        <w:pStyle w:val="Heading2"/>
      </w:pPr>
      <w:r>
        <w:t>Inventory simulated behavior</w:t>
      </w:r>
    </w:p>
    <w:p>
      <w:pPr>
        <w:pStyle w:val="ListBullet"/>
      </w:pPr>
      <w:r>
        <w:t>Search for mock, fixture, demo, sample, placeholder, fallback, temporary, TODO, hardcoded, seed, and static-response patterns.</w:t>
      </w:r>
    </w:p>
    <w:p>
      <w:pPr>
        <w:pStyle w:val="ListBullet"/>
      </w:pPr>
      <w:r>
        <w:t>Inspect network calls and server logs while completing the primary journey.</w:t>
      </w:r>
    </w:p>
    <w:p>
      <w:pPr>
        <w:pStyle w:val="ListBullet"/>
      </w:pPr>
      <w:r>
        <w:t>Confirm external service state actually changes.</w:t>
      </w:r>
    </w:p>
    <w:p>
      <w:pPr>
        <w:pStyle w:val="ListBullet"/>
      </w:pPr>
      <w:r>
        <w:t>Confirm success persists after refresh and in a clean session.</w:t>
      </w:r>
    </w:p>
    <w:p>
      <w:pPr>
        <w:pStyle w:val="ListBullet"/>
      </w:pPr>
      <w:r>
        <w:t>Force a dependency failure and verify the UI does not continue as if successful.</w:t>
      </w:r>
    </w:p>
    <w:p>
      <w:pPr>
        <w:pStyle w:val="Heading2"/>
      </w:pPr>
      <w:r>
        <w:t>Minimum test portfolio</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0B1220"/>
          </w:tcPr>
          <w:p>
            <w:r>
              <w:rPr>
                <w:b/>
                <w:color w:val="FFFFFF"/>
                <w:sz w:val="17"/>
              </w:rPr>
              <w:t>Layer</w:t>
            </w:r>
          </w:p>
        </w:tc>
        <w:tc>
          <w:tcPr>
            <w:tcW w:type="dxa" w:w="4464"/>
            <w:shd w:fill="0B1220"/>
          </w:tcPr>
          <w:p>
            <w:r>
              <w:rPr>
                <w:b/>
                <w:color w:val="FFFFFF"/>
                <w:sz w:val="17"/>
              </w:rPr>
              <w:t>Minimum proof</w:t>
            </w:r>
          </w:p>
        </w:tc>
        <w:tc>
          <w:tcPr>
            <w:tcW w:type="dxa" w:w="3456"/>
            <w:shd w:fill="0B1220"/>
          </w:tcPr>
          <w:p>
            <w:r>
              <w:rPr>
                <w:b/>
                <w:color w:val="FFFFFF"/>
                <w:sz w:val="17"/>
              </w:rPr>
              <w:t>Common false confidence</w:t>
            </w:r>
          </w:p>
        </w:tc>
      </w:tr>
      <w:tr>
        <w:tc>
          <w:tcPr>
            <w:tcW w:type="dxa" w:w="1728"/>
            <w:vAlign w:val="top"/>
          </w:tcPr>
          <w:p>
            <w:r>
              <w:rPr>
                <w:sz w:val="16"/>
              </w:rPr>
              <w:t>Unit</w:t>
            </w:r>
          </w:p>
        </w:tc>
        <w:tc>
          <w:tcPr>
            <w:tcW w:type="dxa" w:w="4464"/>
            <w:vAlign w:val="top"/>
          </w:tcPr>
          <w:p>
            <w:r>
              <w:rPr>
                <w:sz w:val="16"/>
              </w:rPr>
              <w:t>Critical calculations and deterministic rules match known examples.</w:t>
            </w:r>
          </w:p>
        </w:tc>
        <w:tc>
          <w:tcPr>
            <w:tcW w:type="dxa" w:w="3456"/>
            <w:vAlign w:val="top"/>
          </w:tcPr>
          <w:p>
            <w:r>
              <w:rPr>
                <w:sz w:val="16"/>
              </w:rPr>
              <w:t>Only trivial helpers are tested.</w:t>
            </w:r>
          </w:p>
        </w:tc>
      </w:tr>
      <w:tr>
        <w:tc>
          <w:tcPr>
            <w:tcW w:type="dxa" w:w="1728"/>
            <w:vAlign w:val="top"/>
          </w:tcPr>
          <w:p>
            <w:r>
              <w:rPr>
                <w:sz w:val="16"/>
              </w:rPr>
              <w:t>Integration</w:t>
            </w:r>
          </w:p>
        </w:tc>
        <w:tc>
          <w:tcPr>
            <w:tcW w:type="dxa" w:w="4464"/>
            <w:vAlign w:val="top"/>
          </w:tcPr>
          <w:p>
            <w:r>
              <w:rPr>
                <w:sz w:val="16"/>
              </w:rPr>
              <w:t>Real test database/API/storage behavior is exercised.</w:t>
            </w:r>
          </w:p>
        </w:tc>
        <w:tc>
          <w:tcPr>
            <w:tcW w:type="dxa" w:w="3456"/>
            <w:vAlign w:val="top"/>
          </w:tcPr>
          <w:p>
            <w:r>
              <w:rPr>
                <w:sz w:val="16"/>
              </w:rPr>
              <w:t>Mocks prove only the mock contract.</w:t>
            </w:r>
          </w:p>
        </w:tc>
      </w:tr>
      <w:tr>
        <w:tc>
          <w:tcPr>
            <w:tcW w:type="dxa" w:w="1728"/>
            <w:vAlign w:val="top"/>
          </w:tcPr>
          <w:p>
            <w:r>
              <w:rPr>
                <w:sz w:val="16"/>
              </w:rPr>
              <w:t>Authorization</w:t>
            </w:r>
          </w:p>
        </w:tc>
        <w:tc>
          <w:tcPr>
            <w:tcW w:type="dxa" w:w="4464"/>
            <w:vAlign w:val="top"/>
          </w:tcPr>
          <w:p>
            <w:r>
              <w:rPr>
                <w:sz w:val="16"/>
              </w:rPr>
              <w:t>Different actors are tested against direct endpoints and data boundaries.</w:t>
            </w:r>
          </w:p>
        </w:tc>
        <w:tc>
          <w:tcPr>
            <w:tcW w:type="dxa" w:w="3456"/>
            <w:vAlign w:val="top"/>
          </w:tcPr>
          <w:p>
            <w:r>
              <w:rPr>
                <w:sz w:val="16"/>
              </w:rPr>
              <w:t>Buttons are hidden in the UI.</w:t>
            </w:r>
          </w:p>
        </w:tc>
      </w:tr>
      <w:tr>
        <w:tc>
          <w:tcPr>
            <w:tcW w:type="dxa" w:w="1728"/>
            <w:vAlign w:val="top"/>
          </w:tcPr>
          <w:p>
            <w:r>
              <w:rPr>
                <w:sz w:val="16"/>
              </w:rPr>
              <w:t>End-to-end</w:t>
            </w:r>
          </w:p>
        </w:tc>
        <w:tc>
          <w:tcPr>
            <w:tcW w:type="dxa" w:w="4464"/>
            <w:vAlign w:val="top"/>
          </w:tcPr>
          <w:p>
            <w:r>
              <w:rPr>
                <w:sz w:val="16"/>
              </w:rPr>
              <w:t>Primary journeys work from clean state to durable result.</w:t>
            </w:r>
          </w:p>
        </w:tc>
        <w:tc>
          <w:tcPr>
            <w:tcW w:type="dxa" w:w="3456"/>
            <w:vAlign w:val="top"/>
          </w:tcPr>
          <w:p>
            <w:r>
              <w:rPr>
                <w:sz w:val="16"/>
              </w:rPr>
              <w:t>Developer session and seed data hide defects.</w:t>
            </w:r>
          </w:p>
        </w:tc>
      </w:tr>
      <w:tr>
        <w:tc>
          <w:tcPr>
            <w:tcW w:type="dxa" w:w="1728"/>
            <w:vAlign w:val="top"/>
          </w:tcPr>
          <w:p>
            <w:r>
              <w:rPr>
                <w:sz w:val="16"/>
              </w:rPr>
              <w:t>Failure mode</w:t>
            </w:r>
          </w:p>
        </w:tc>
        <w:tc>
          <w:tcPr>
            <w:tcW w:type="dxa" w:w="4464"/>
            <w:vAlign w:val="top"/>
          </w:tcPr>
          <w:p>
            <w:r>
              <w:rPr>
                <w:sz w:val="16"/>
              </w:rPr>
              <w:t>Timeout, invalid, duplicate, empty, denied, and partial failure are safe.</w:t>
            </w:r>
          </w:p>
        </w:tc>
        <w:tc>
          <w:tcPr>
            <w:tcW w:type="dxa" w:w="3456"/>
            <w:vAlign w:val="top"/>
          </w:tcPr>
          <w:p>
            <w:r>
              <w:rPr>
                <w:sz w:val="16"/>
              </w:rPr>
              <w:t>Only the happy path is demonstrated.</w:t>
            </w:r>
          </w:p>
        </w:tc>
      </w:tr>
      <w:tr>
        <w:tc>
          <w:tcPr>
            <w:tcW w:type="dxa" w:w="1728"/>
            <w:vAlign w:val="top"/>
          </w:tcPr>
          <w:p>
            <w:r>
              <w:rPr>
                <w:sz w:val="16"/>
              </w:rPr>
              <w:t>Regression</w:t>
            </w:r>
          </w:p>
        </w:tc>
        <w:tc>
          <w:tcPr>
            <w:tcW w:type="dxa" w:w="4464"/>
            <w:vAlign w:val="top"/>
          </w:tcPr>
          <w:p>
            <w:r>
              <w:rPr>
                <w:sz w:val="16"/>
              </w:rPr>
              <w:t>Accepted existing behavior remains protected.</w:t>
            </w:r>
          </w:p>
        </w:tc>
        <w:tc>
          <w:tcPr>
            <w:tcW w:type="dxa" w:w="3456"/>
            <w:vAlign w:val="top"/>
          </w:tcPr>
          <w:p>
            <w:r>
              <w:rPr>
                <w:sz w:val="16"/>
              </w:rPr>
              <w:t>The new feature works while old behavior silently breaks.</w:t>
            </w:r>
          </w:p>
        </w:tc>
      </w:tr>
    </w:tbl>
    <w:p/>
    <w:p>
      <w:r>
        <w:br w:type="page"/>
      </w:r>
    </w:p>
    <w:p>
      <w:pPr>
        <w:pStyle w:val="Heading1"/>
      </w:pPr>
      <w:r>
        <w:t>7. Test authentication and authorization</w:t>
      </w:r>
    </w:p>
    <w:p>
      <w:r>
        <w:t>Authentication proves identity. Authorization determines what that identity may do. A successful login does not prove that records, files, privileged routes, or server actions are isolated.</w:t>
      </w:r>
    </w:p>
    <w:tbl>
      <w:tblPr>
        <w:tblW w:type="auto" w:w="0"/>
        <w:jc w:val="center"/>
        <w:tblLayout w:type="fixed"/>
        <w:tblLook w:firstColumn="1" w:firstRow="1" w:lastColumn="0" w:lastRow="0" w:noHBand="0" w:noVBand="1" w:val="04A0"/>
      </w:tblPr>
      <w:tblGrid>
        <w:gridCol w:w="10080"/>
      </w:tblGrid>
      <w:tr>
        <w:tc>
          <w:tcPr>
            <w:tcW w:type="dxa" w:w="9648"/>
            <w:vAlign w:val="center"/>
            <w:shd w:fill="E0F2FE"/>
            <w:tcBorders>
              <w:top w:val="single" w:sz="8" w:color="0E7490"/>
              <w:left w:val="single" w:sz="8" w:color="0E7490"/>
              <w:bottom w:val="single" w:sz="8" w:color="0E7490"/>
              <w:right w:val="single" w:sz="8" w:color="0E7490"/>
            </w:tcBorders>
          </w:tcPr>
          <w:p>
            <w:r>
              <w:rPr>
                <w:b/>
                <w:color w:val="0B1220"/>
                <w:sz w:val="21"/>
              </w:rPr>
              <w:t>DIRECT-ACCESS RULE</w:t>
              <w:br/>
            </w:r>
            <w:r>
              <w:rPr>
                <w:color w:val="334155"/>
                <w:sz w:val="18"/>
              </w:rPr>
              <w:t>Never accept a hidden button, client redirect, disabled form, or route guard as sufficient authorization evidence. Call the server or data boundary directly with unauthorized credentials.</w:t>
            </w:r>
          </w:p>
        </w:tc>
      </w:tr>
    </w:tbl>
    <w:p/>
    <w:p>
      <w:pPr>
        <w:pStyle w:val="Heading2"/>
      </w:pPr>
      <w:r>
        <w:t>Required actors</w:t>
      </w:r>
    </w:p>
    <w:p>
      <w:pPr>
        <w:pStyle w:val="ListBullet"/>
      </w:pPr>
      <w:r>
        <w:t>Anonymous state</w:t>
      </w:r>
    </w:p>
    <w:p>
      <w:pPr>
        <w:pStyle w:val="ListBullet"/>
      </w:pPr>
      <w:r>
        <w:t>User A</w:t>
      </w:r>
    </w:p>
    <w:p>
      <w:pPr>
        <w:pStyle w:val="ListBullet"/>
      </w:pPr>
      <w:r>
        <w:t>User B</w:t>
      </w:r>
    </w:p>
    <w:p>
      <w:pPr>
        <w:pStyle w:val="ListBullet"/>
      </w:pPr>
      <w:r>
        <w:t>Privileged/admin user</w:t>
      </w:r>
    </w:p>
    <w:p>
      <w:pPr>
        <w:pStyle w:val="ListBullet"/>
      </w:pPr>
      <w:r>
        <w:t>Suspended or deleted user</w:t>
      </w:r>
    </w:p>
    <w:p>
      <w:pPr>
        <w:pStyle w:val="ListBullet"/>
      </w:pPr>
      <w:r>
        <w:t>Expired session</w:t>
      </w:r>
    </w:p>
    <w:p>
      <w:pPr>
        <w:pStyle w:val="Heading2"/>
      </w:pPr>
      <w:r>
        <w:t>Required test classes</w:t>
      </w:r>
    </w:p>
    <w:p>
      <w:pPr>
        <w:pStyle w:val="ListNumber"/>
      </w:pPr>
      <w:r>
        <w:t>Anonymous access to protected pages, APIs, objects, and files.</w:t>
      </w:r>
    </w:p>
    <w:p>
      <w:pPr>
        <w:pStyle w:val="ListNumber"/>
      </w:pPr>
      <w:r>
        <w:t>User A reading, updating, or deleting User B resources by changing identifiers.</w:t>
      </w:r>
    </w:p>
    <w:p>
      <w:pPr>
        <w:pStyle w:val="ListNumber"/>
      </w:pPr>
      <w:r>
        <w:t>Normal user calling privileged endpoints directly.</w:t>
      </w:r>
    </w:p>
    <w:p>
      <w:pPr>
        <w:pStyle w:val="ListNumber"/>
      </w:pPr>
      <w:r>
        <w:t>Client-supplied owner, price, role, status, or entitlement fields.</w:t>
      </w:r>
    </w:p>
    <w:p>
      <w:pPr>
        <w:pStyle w:val="ListNumber"/>
      </w:pPr>
      <w:r>
        <w:t>Suspended/deleted user reusing a prior session.</w:t>
      </w:r>
    </w:p>
    <w:p>
      <w:pPr>
        <w:pStyle w:val="ListNumber"/>
      </w:pPr>
      <w:r>
        <w:t>List/search/export endpoints leaking unauthorized records or metadata.</w:t>
      </w:r>
    </w:p>
    <w:p>
      <w:pPr>
        <w:pStyle w:val="ListNumber"/>
      </w:pPr>
      <w:r>
        <w:t>Database row policies and object-storage policies tested with actual non-privileged tokens.</w:t>
      </w:r>
    </w:p>
    <w:p>
      <w:r>
        <w:br w:type="page"/>
      </w:r>
    </w:p>
    <w:p>
      <w:pPr>
        <w:pStyle w:val="Heading1"/>
      </w:pPr>
      <w:r>
        <w:t>8. Protect data, secrets, and dependencies</w:t>
      </w:r>
    </w:p>
    <w:p>
      <w:pPr>
        <w:pStyle w:val="Heading2"/>
      </w:pPr>
      <w:r>
        <w:t>Data minimization</w:t>
      </w:r>
    </w:p>
    <w:p>
      <w:r>
        <w:t>Classify what the system collects, where it travels, who can access it, how long it remains, and how it is deleted. Avoid sending production personal or sensitive data through development tools or AI prompts unless that use is explicitly authorized and protected.</w:t>
      </w:r>
    </w:p>
    <w:p>
      <w:pPr>
        <w:pStyle w:val="Heading2"/>
      </w:pPr>
      <w:r>
        <w:t>Secret exposure is a rotation event</w:t>
      </w:r>
    </w:p>
    <w:p>
      <w:r>
        <w:t>Deleting a visible secret from a current file does not make it secret again. If it entered Git history, logs, prompts, client bundles, screenshots, or third-party systems, rotate/revoke it and inspect usage.</w:t>
      </w:r>
    </w:p>
    <w:p>
      <w:pPr>
        <w:pStyle w:val="Heading2"/>
      </w:pPr>
      <w:r>
        <w:t>Dependency control</w:t>
      </w:r>
    </w:p>
    <w:p>
      <w:pPr>
        <w:pStyle w:val="ListBullet"/>
      </w:pPr>
      <w:r>
        <w:t>Lock dependency versions and review changes.</w:t>
      </w:r>
    </w:p>
    <w:p>
      <w:pPr>
        <w:pStyle w:val="ListBullet"/>
      </w:pPr>
      <w:r>
        <w:t>Remove packages and services that are not required.</w:t>
      </w:r>
    </w:p>
    <w:p>
      <w:pPr>
        <w:pStyle w:val="ListBullet"/>
      </w:pPr>
      <w:r>
        <w:t>Use vulnerability and licence checks appropriate to the stack.</w:t>
      </w:r>
    </w:p>
    <w:p>
      <w:pPr>
        <w:pStyle w:val="ListBullet"/>
      </w:pPr>
      <w:r>
        <w:t>Investigate installation scripts and unexpected transitive dependencies.</w:t>
      </w:r>
    </w:p>
    <w:p>
      <w:pPr>
        <w:pStyle w:val="ListBullet"/>
      </w:pPr>
      <w:r>
        <w:t>Keep development, staging, and production credentials separate.</w:t>
      </w:r>
    </w:p>
    <w:p>
      <w:pPr>
        <w:pStyle w:val="ListBullet"/>
      </w:pPr>
      <w:r>
        <w:t>Define quotas, timeouts, retry rules, and cost ceilings for external providers.</w:t>
      </w:r>
    </w:p>
    <w:p>
      <w:r>
        <w:br w:type="page"/>
      </w:r>
    </w:p>
    <w:p>
      <w:pPr>
        <w:pStyle w:val="Heading1"/>
      </w:pPr>
      <w:r>
        <w:t>9. Control AI-specific risk</w:t>
      </w:r>
    </w:p>
    <w:p>
      <w:r>
        <w:t>An application that reads external content and can use tools combines two trust domains: untrusted information and privileged action. Never allow retrieved text, uploaded files, webpages, issues, comments, or tool output to redefine system authority.</w:t>
      </w:r>
    </w:p>
    <w:p>
      <w:pPr>
        <w:pStyle w:val="Heading2"/>
      </w:pPr>
      <w:r>
        <w:t>Agent permission design</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0B1220"/>
          </w:tcPr>
          <w:p>
            <w:r>
              <w:rPr>
                <w:b/>
                <w:color w:val="FFFFFF"/>
                <w:sz w:val="17"/>
              </w:rPr>
              <w:t>Capability</w:t>
            </w:r>
          </w:p>
        </w:tc>
        <w:tc>
          <w:tcPr>
            <w:tcW w:type="dxa" w:w="3168"/>
            <w:shd w:fill="0B1220"/>
          </w:tcPr>
          <w:p>
            <w:r>
              <w:rPr>
                <w:b/>
                <w:color w:val="FFFFFF"/>
                <w:sz w:val="17"/>
              </w:rPr>
              <w:t>Default</w:t>
            </w:r>
          </w:p>
        </w:tc>
        <w:tc>
          <w:tcPr>
            <w:tcW w:type="dxa" w:w="3888"/>
            <w:shd w:fill="0B1220"/>
          </w:tcPr>
          <w:p>
            <w:r>
              <w:rPr>
                <w:b/>
                <w:color w:val="FFFFFF"/>
                <w:sz w:val="17"/>
              </w:rPr>
              <w:t>Elevation trigger</w:t>
            </w:r>
          </w:p>
        </w:tc>
      </w:tr>
      <w:tr>
        <w:tc>
          <w:tcPr>
            <w:tcW w:type="dxa" w:w="2304"/>
            <w:vAlign w:val="top"/>
          </w:tcPr>
          <w:p>
            <w:r>
              <w:rPr>
                <w:sz w:val="16"/>
              </w:rPr>
              <w:t>Read project files</w:t>
            </w:r>
          </w:p>
        </w:tc>
        <w:tc>
          <w:tcPr>
            <w:tcW w:type="dxa" w:w="3168"/>
            <w:vAlign w:val="top"/>
          </w:tcPr>
          <w:p>
            <w:r>
              <w:rPr>
                <w:sz w:val="16"/>
              </w:rPr>
              <w:t>Allowed within authorized repository</w:t>
            </w:r>
          </w:p>
        </w:tc>
        <w:tc>
          <w:tcPr>
            <w:tcW w:type="dxa" w:w="3888"/>
            <w:vAlign w:val="top"/>
          </w:tcPr>
          <w:p>
            <w:r>
              <w:rPr>
                <w:sz w:val="16"/>
              </w:rPr>
              <w:t>Outside-repository access</w:t>
            </w:r>
          </w:p>
        </w:tc>
      </w:tr>
      <w:tr>
        <w:tc>
          <w:tcPr>
            <w:tcW w:type="dxa" w:w="2304"/>
            <w:vAlign w:val="top"/>
          </w:tcPr>
          <w:p>
            <w:r>
              <w:rPr>
                <w:sz w:val="16"/>
              </w:rPr>
              <w:t>Edit code</w:t>
            </w:r>
          </w:p>
        </w:tc>
        <w:tc>
          <w:tcPr>
            <w:tcW w:type="dxa" w:w="3168"/>
            <w:vAlign w:val="top"/>
          </w:tcPr>
          <w:p>
            <w:r>
              <w:rPr>
                <w:sz w:val="16"/>
              </w:rPr>
              <w:t>Allowed within scoped task</w:t>
            </w:r>
          </w:p>
        </w:tc>
        <w:tc>
          <w:tcPr>
            <w:tcW w:type="dxa" w:w="3888"/>
            <w:vAlign w:val="top"/>
          </w:tcPr>
          <w:p>
            <w:r>
              <w:rPr>
                <w:sz w:val="16"/>
              </w:rPr>
              <w:t>Protected files, large rewrite, or public API change</w:t>
            </w:r>
          </w:p>
        </w:tc>
      </w:tr>
      <w:tr>
        <w:tc>
          <w:tcPr>
            <w:tcW w:type="dxa" w:w="2304"/>
            <w:vAlign w:val="top"/>
          </w:tcPr>
          <w:p>
            <w:r>
              <w:rPr>
                <w:sz w:val="16"/>
              </w:rPr>
              <w:t>Run tests/build</w:t>
            </w:r>
          </w:p>
        </w:tc>
        <w:tc>
          <w:tcPr>
            <w:tcW w:type="dxa" w:w="3168"/>
            <w:vAlign w:val="top"/>
          </w:tcPr>
          <w:p>
            <w:r>
              <w:rPr>
                <w:sz w:val="16"/>
              </w:rPr>
              <w:t>Allowed when non-destructive</w:t>
            </w:r>
          </w:p>
        </w:tc>
        <w:tc>
          <w:tcPr>
            <w:tcW w:type="dxa" w:w="3888"/>
            <w:vAlign w:val="top"/>
          </w:tcPr>
          <w:p>
            <w:r>
              <w:rPr>
                <w:sz w:val="16"/>
              </w:rPr>
              <w:t>Command changes state or accesses secrets</w:t>
            </w:r>
          </w:p>
        </w:tc>
      </w:tr>
      <w:tr>
        <w:tc>
          <w:tcPr>
            <w:tcW w:type="dxa" w:w="2304"/>
            <w:vAlign w:val="top"/>
          </w:tcPr>
          <w:p>
            <w:r>
              <w:rPr>
                <w:sz w:val="16"/>
              </w:rPr>
              <w:t>Network access</w:t>
            </w:r>
          </w:p>
        </w:tc>
        <w:tc>
          <w:tcPr>
            <w:tcW w:type="dxa" w:w="3168"/>
            <w:vAlign w:val="top"/>
          </w:tcPr>
          <w:p>
            <w:r>
              <w:rPr>
                <w:sz w:val="16"/>
              </w:rPr>
              <w:t>Deny or tightly scope</w:t>
            </w:r>
          </w:p>
        </w:tc>
        <w:tc>
          <w:tcPr>
            <w:tcW w:type="dxa" w:w="3888"/>
            <w:vAlign w:val="top"/>
          </w:tcPr>
          <w:p>
            <w:r>
              <w:rPr>
                <w:sz w:val="16"/>
              </w:rPr>
              <w:t>Explicitly required verified endpoint</w:t>
            </w:r>
          </w:p>
        </w:tc>
      </w:tr>
      <w:tr>
        <w:tc>
          <w:tcPr>
            <w:tcW w:type="dxa" w:w="2304"/>
            <w:vAlign w:val="top"/>
          </w:tcPr>
          <w:p>
            <w:r>
              <w:rPr>
                <w:sz w:val="16"/>
              </w:rPr>
              <w:t>Database access</w:t>
            </w:r>
          </w:p>
        </w:tc>
        <w:tc>
          <w:tcPr>
            <w:tcW w:type="dxa" w:w="3168"/>
            <w:vAlign w:val="top"/>
          </w:tcPr>
          <w:p>
            <w:r>
              <w:rPr>
                <w:sz w:val="16"/>
              </w:rPr>
              <w:t>Use test/least privilege</w:t>
            </w:r>
          </w:p>
        </w:tc>
        <w:tc>
          <w:tcPr>
            <w:tcW w:type="dxa" w:w="3888"/>
            <w:vAlign w:val="top"/>
          </w:tcPr>
          <w:p>
            <w:r>
              <w:rPr>
                <w:sz w:val="16"/>
              </w:rPr>
              <w:t>Schema/data change or production access</w:t>
            </w:r>
          </w:p>
        </w:tc>
      </w:tr>
      <w:tr>
        <w:tc>
          <w:tcPr>
            <w:tcW w:type="dxa" w:w="2304"/>
            <w:vAlign w:val="top"/>
          </w:tcPr>
          <w:p>
            <w:r>
              <w:rPr>
                <w:sz w:val="16"/>
              </w:rPr>
              <w:t>Deploy</w:t>
            </w:r>
          </w:p>
        </w:tc>
        <w:tc>
          <w:tcPr>
            <w:tcW w:type="dxa" w:w="3168"/>
            <w:vAlign w:val="top"/>
          </w:tcPr>
          <w:p>
            <w:r>
              <w:rPr>
                <w:sz w:val="16"/>
              </w:rPr>
              <w:t>Approval required</w:t>
            </w:r>
          </w:p>
        </w:tc>
        <w:tc>
          <w:tcPr>
            <w:tcW w:type="dxa" w:w="3888"/>
            <w:vAlign w:val="top"/>
          </w:tcPr>
          <w:p>
            <w:r>
              <w:rPr>
                <w:sz w:val="16"/>
              </w:rPr>
              <w:t>Every production deployment</w:t>
            </w:r>
          </w:p>
        </w:tc>
      </w:tr>
      <w:tr>
        <w:tc>
          <w:tcPr>
            <w:tcW w:type="dxa" w:w="2304"/>
            <w:vAlign w:val="top"/>
          </w:tcPr>
          <w:p>
            <w:r>
              <w:rPr>
                <w:sz w:val="16"/>
              </w:rPr>
              <w:t>Send data/messages</w:t>
            </w:r>
          </w:p>
        </w:tc>
        <w:tc>
          <w:tcPr>
            <w:tcW w:type="dxa" w:w="3168"/>
            <w:vAlign w:val="top"/>
          </w:tcPr>
          <w:p>
            <w:r>
              <w:rPr>
                <w:sz w:val="16"/>
              </w:rPr>
              <w:t>Approval required</w:t>
            </w:r>
          </w:p>
        </w:tc>
        <w:tc>
          <w:tcPr>
            <w:tcW w:type="dxa" w:w="3888"/>
            <w:vAlign w:val="top"/>
          </w:tcPr>
          <w:p>
            <w:r>
              <w:rPr>
                <w:sz w:val="16"/>
              </w:rPr>
              <w:t>Every external destination not pre-authorized</w:t>
            </w:r>
          </w:p>
        </w:tc>
      </w:tr>
    </w:tbl>
    <w:p/>
    <w:p>
      <w:pPr>
        <w:pStyle w:val="Heading2"/>
      </w:pPr>
      <w:r>
        <w:t>Prompt-injection test</w:t>
      </w:r>
    </w:p>
    <w:p>
      <w:r>
        <w:t>Place an instruction inside untrusted test content asking the agent to ignore rules, expose a secret, access an unrelated file, send data externally, or disable a safety control. The system should treat it as data, preserve authority boundaries, and surface the attempt rather than execute it.</w:t>
      </w:r>
    </w:p>
    <w:p>
      <w:r>
        <w:br w:type="page"/>
      </w:r>
    </w:p>
    <w:p>
      <w:pPr>
        <w:pStyle w:val="Heading1"/>
      </w:pPr>
      <w:r>
        <w:t>10. Deploy with checkpoints and rollback</w:t>
      </w:r>
    </w:p>
    <w:p>
      <w:r>
        <w:t>A release is not recoverable merely because the repository uses Git. Code, database schema/data, configuration, credentials, storage, external provider state, and infrastructure may require different recovery procedures.</w:t>
      </w:r>
    </w:p>
    <w:p>
      <w:pPr>
        <w:pStyle w:val="Heading2"/>
      </w:pPr>
      <w:r>
        <w:t>Checkpoint before high-risk work</w:t>
      </w:r>
    </w:p>
    <w:p>
      <w:pPr>
        <w:pStyle w:val="ListBullet"/>
      </w:pPr>
      <w:r>
        <w:t>Clean and identify the known-good code state.</w:t>
      </w:r>
    </w:p>
    <w:p>
      <w:pPr>
        <w:pStyle w:val="ListBullet"/>
      </w:pPr>
      <w:r>
        <w:t>Record critical test results at the checkpoint.</w:t>
      </w:r>
    </w:p>
    <w:p>
      <w:pPr>
        <w:pStyle w:val="ListBullet"/>
      </w:pPr>
      <w:r>
        <w:t>Back up or snapshot affected data/configuration.</w:t>
      </w:r>
    </w:p>
    <w:p>
      <w:pPr>
        <w:pStyle w:val="ListBullet"/>
      </w:pPr>
      <w:r>
        <w:t>Write the rollback trigger before editing.</w:t>
      </w:r>
    </w:p>
    <w:p>
      <w:pPr>
        <w:pStyle w:val="ListBullet"/>
      </w:pPr>
      <w:r>
        <w:t>Isolate the work on a branch or worktree.</w:t>
      </w:r>
    </w:p>
    <w:p>
      <w:pPr>
        <w:pStyle w:val="ListBullet"/>
      </w:pPr>
      <w:r>
        <w:t>Keep destructive steps explicit and human-approved.</w:t>
      </w:r>
    </w:p>
    <w:p>
      <w:pPr>
        <w:pStyle w:val="Heading2"/>
      </w:pPr>
      <w:r>
        <w:t>Rollback drill</w:t>
      </w:r>
    </w:p>
    <w:p>
      <w:pPr>
        <w:pStyle w:val="ListNumber"/>
      </w:pPr>
      <w:r>
        <w:t>Deploy or run the candidate in a controlled environment.</w:t>
      </w:r>
    </w:p>
    <w:p>
      <w:pPr>
        <w:pStyle w:val="ListNumber"/>
      </w:pPr>
      <w:r>
        <w:t>Activate the rollback procedure.</w:t>
      </w:r>
    </w:p>
    <w:p>
      <w:pPr>
        <w:pStyle w:val="ListNumber"/>
      </w:pPr>
      <w:r>
        <w:t>Confirm code, configuration, schema/data, and integrations return to the expected state.</w:t>
      </w:r>
    </w:p>
    <w:p>
      <w:pPr>
        <w:pStyle w:val="ListNumber"/>
      </w:pPr>
      <w:r>
        <w:t>Run critical smoke and authorization tests.</w:t>
      </w:r>
    </w:p>
    <w:p>
      <w:pPr>
        <w:pStyle w:val="ListNumber"/>
      </w:pPr>
      <w:r>
        <w:t>Record duration, failures, and corrections to the runbook.</w:t>
      </w:r>
    </w:p>
    <w:p>
      <w:r>
        <w:br w:type="page"/>
      </w:r>
    </w:p>
    <w:p>
      <w:pPr>
        <w:pStyle w:val="Heading1"/>
      </w:pPr>
      <w:r>
        <w:t>11. Score readiness and decide</w:t>
      </w:r>
    </w:p>
    <w:p>
      <w:r>
        <w:t>Open the included Excel scorecard. Every check starts as Unknown, and Unknown earns zero. This prevents untested assumptions from inflating readiness.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0B1220"/>
          </w:tcPr>
          <w:p>
            <w:r>
              <w:rPr>
                <w:b/>
                <w:color w:val="FFFFFF"/>
                <w:sz w:val="17"/>
              </w:rPr>
              <w:t>Score</w:t>
            </w:r>
          </w:p>
        </w:tc>
        <w:tc>
          <w:tcPr>
            <w:tcW w:type="dxa" w:w="2448"/>
            <w:shd w:fill="0B1220"/>
          </w:tcPr>
          <w:p>
            <w:r>
              <w:rPr>
                <w:b/>
                <w:color w:val="FFFFFF"/>
                <w:sz w:val="17"/>
              </w:rPr>
              <w:t>Decision</w:t>
            </w:r>
          </w:p>
        </w:tc>
        <w:tc>
          <w:tcPr>
            <w:tcW w:type="dxa" w:w="5184"/>
            <w:shd w:fill="0B1220"/>
          </w:tcPr>
          <w:p>
            <w:r>
              <w:rPr>
                <w:b/>
                <w:color w:val="FFFFFF"/>
                <w:sz w:val="17"/>
              </w:rPr>
              <w:t>Interpretation</w:t>
            </w:r>
          </w:p>
        </w:tc>
      </w:tr>
      <w:tr>
        <w:tc>
          <w:tcPr>
            <w:tcW w:type="dxa" w:w="1728"/>
            <w:vAlign w:val="top"/>
          </w:tcPr>
          <w:p>
            <w:r>
              <w:rPr>
                <w:sz w:val="16"/>
              </w:rPr>
              <w:t>95-100%</w:t>
            </w:r>
          </w:p>
        </w:tc>
        <w:tc>
          <w:tcPr>
            <w:tcW w:type="dxa" w:w="2448"/>
            <w:vAlign w:val="top"/>
          </w:tcPr>
          <w:p>
            <w:r>
              <w:rPr>
                <w:sz w:val="16"/>
              </w:rPr>
              <w:t>Launch ready</w:t>
            </w:r>
          </w:p>
        </w:tc>
        <w:tc>
          <w:tcPr>
            <w:tcW w:type="dxa" w:w="5184"/>
            <w:vAlign w:val="top"/>
          </w:tcPr>
          <w:p>
            <w:r>
              <w:rPr>
                <w:sz w:val="16"/>
              </w:rPr>
              <w:t>Critical controls pass; only accepted residual risk remains.</w:t>
            </w:r>
          </w:p>
        </w:tc>
      </w:tr>
      <w:tr>
        <w:tc>
          <w:tcPr>
            <w:tcW w:type="dxa" w:w="1728"/>
            <w:vAlign w:val="top"/>
          </w:tcPr>
          <w:p>
            <w:r>
              <w:rPr>
                <w:sz w:val="16"/>
              </w:rPr>
              <w:t>85-94%</w:t>
            </w:r>
          </w:p>
        </w:tc>
        <w:tc>
          <w:tcPr>
            <w:tcW w:type="dxa" w:w="2448"/>
            <w:vAlign w:val="top"/>
          </w:tcPr>
          <w:p>
            <w:r>
              <w:rPr>
                <w:sz w:val="16"/>
              </w:rPr>
              <w:t>Conditional launch</w:t>
            </w:r>
          </w:p>
        </w:tc>
        <w:tc>
          <w:tcPr>
            <w:tcW w:type="dxa" w:w="5184"/>
            <w:vAlign w:val="top"/>
          </w:tcPr>
          <w:p>
            <w:r>
              <w:rPr>
                <w:sz w:val="16"/>
              </w:rPr>
              <w:t>Launch only with explicit acceptance and owners for remaining non-critical risk.</w:t>
            </w:r>
          </w:p>
        </w:tc>
      </w:tr>
      <w:tr>
        <w:tc>
          <w:tcPr>
            <w:tcW w:type="dxa" w:w="1728"/>
            <w:vAlign w:val="top"/>
          </w:tcPr>
          <w:p>
            <w:r>
              <w:rPr>
                <w:sz w:val="16"/>
              </w:rPr>
              <w:t>70-84%</w:t>
            </w:r>
          </w:p>
        </w:tc>
        <w:tc>
          <w:tcPr>
            <w:tcW w:type="dxa" w:w="2448"/>
            <w:vAlign w:val="top"/>
          </w:tcPr>
          <w:p>
            <w:r>
              <w:rPr>
                <w:sz w:val="16"/>
              </w:rPr>
              <w:t>Staging ready</w:t>
            </w:r>
          </w:p>
        </w:tc>
        <w:tc>
          <w:tcPr>
            <w:tcW w:type="dxa" w:w="5184"/>
            <w:vAlign w:val="top"/>
          </w:tcPr>
          <w:p>
            <w:r>
              <w:rPr>
                <w:sz w:val="16"/>
              </w:rPr>
              <w:t>Use for controlled testing, not unrestricted public launch.</w:t>
            </w:r>
          </w:p>
        </w:tc>
      </w:tr>
      <w:tr>
        <w:tc>
          <w:tcPr>
            <w:tcW w:type="dxa" w:w="1728"/>
            <w:vAlign w:val="top"/>
          </w:tcPr>
          <w:p>
            <w:r>
              <w:rPr>
                <w:sz w:val="16"/>
              </w:rPr>
              <w:t>50-69%</w:t>
            </w:r>
          </w:p>
        </w:tc>
        <w:tc>
          <w:tcPr>
            <w:tcW w:type="dxa" w:w="2448"/>
            <w:vAlign w:val="top"/>
          </w:tcPr>
          <w:p>
            <w:r>
              <w:rPr>
                <w:sz w:val="16"/>
              </w:rPr>
              <w:t>High risk</w:t>
            </w:r>
          </w:p>
        </w:tc>
        <w:tc>
          <w:tcPr>
            <w:tcW w:type="dxa" w:w="5184"/>
            <w:vAlign w:val="top"/>
          </w:tcPr>
          <w:p>
            <w:r>
              <w:rPr>
                <w:sz w:val="16"/>
              </w:rPr>
              <w:t>Material controls are missing or unknown.</w:t>
            </w:r>
          </w:p>
        </w:tc>
      </w:tr>
      <w:tr>
        <w:tc>
          <w:tcPr>
            <w:tcW w:type="dxa" w:w="1728"/>
            <w:vAlign w:val="top"/>
          </w:tcPr>
          <w:p>
            <w:r>
              <w:rPr>
                <w:sz w:val="16"/>
              </w:rPr>
              <w:t>0-49%</w:t>
            </w:r>
          </w:p>
        </w:tc>
        <w:tc>
          <w:tcPr>
            <w:tcW w:type="dxa" w:w="2448"/>
            <w:vAlign w:val="top"/>
          </w:tcPr>
          <w:p>
            <w:r>
              <w:rPr>
                <w:sz w:val="16"/>
              </w:rPr>
              <w:t>Stop - not ready</w:t>
            </w:r>
          </w:p>
        </w:tc>
        <w:tc>
          <w:tcPr>
            <w:tcW w:type="dxa" w:w="5184"/>
            <w:vAlign w:val="top"/>
          </w:tcPr>
          <w:p>
            <w:r>
              <w:rPr>
                <w:sz w:val="16"/>
              </w:rPr>
              <w:t>Do not launch until critical gaps are resolved.</w:t>
            </w:r>
          </w:p>
        </w:tc>
      </w:tr>
    </w:tbl>
    <w:p/>
    <w:tbl>
      <w:tblPr>
        <w:tblW w:type="auto" w:w="0"/>
        <w:jc w:val="center"/>
        <w:tblLayout w:type="fixed"/>
        <w:tblLook w:firstColumn="1" w:firstRow="1" w:lastColumn="0" w:lastRow="0" w:noHBand="0" w:noVBand="1" w:val="04A0"/>
      </w:tblPr>
      <w:tblGrid>
        <w:gridCol w:w="10080"/>
      </w:tblGrid>
      <w:tr>
        <w:tc>
          <w:tcPr>
            <w:tcW w:type="dxa" w:w="9648"/>
            <w:vAlign w:val="center"/>
            <w:shd w:fill="FEE2E2"/>
            <w:tcBorders>
              <w:top w:val="single" w:sz="8" w:color="0E7490"/>
              <w:left w:val="single" w:sz="8" w:color="0E7490"/>
              <w:bottom w:val="single" w:sz="8" w:color="0E7490"/>
              <w:right w:val="single" w:sz="8" w:color="0E7490"/>
            </w:tcBorders>
          </w:tcPr>
          <w:p>
            <w:r>
              <w:rPr>
                <w:b/>
                <w:color w:val="991B1B"/>
                <w:sz w:val="21"/>
              </w:rPr>
              <w:t>CRITICAL OVERRIDE</w:t>
              <w:br/>
            </w:r>
            <w:r>
              <w:rPr>
                <w:color w:val="334155"/>
                <w:sz w:val="18"/>
              </w:rPr>
              <w:t>The numeric score never overrides a failed or unknown Critical control. A high average cannot compensate for exposed data, missing authorization, unprotected secrets, fake success, or no recovery path.</w:t>
            </w:r>
          </w:p>
        </w:tc>
      </w:tr>
    </w:tbl>
    <w:p/>
    <w:p>
      <w:r>
        <w:br w:type="page"/>
      </w:r>
    </w:p>
    <w:p>
      <w:pPr>
        <w:pStyle w:val="Heading1"/>
      </w:pPr>
      <w:r>
        <w:t>12. Recover from a damaged project</w:t>
      </w:r>
    </w:p>
    <w:p>
      <w:r>
        <w:t>Do not respond to an agent-created failure by granting the same agent broader authority and asking it to fix everything. Stop automation, preserve evidence, classify the damage, contain it, and recover from a known state.</w:t>
      </w:r>
    </w:p>
    <w:p>
      <w:pPr>
        <w:pStyle w:val="ListNumber"/>
      </w:pPr>
      <w:r>
        <w:t>Stop agents, deployments, migrations, jobs, and retries affecting the incident.</w:t>
      </w:r>
    </w:p>
    <w:p>
      <w:pPr>
        <w:pStyle w:val="ListNumber"/>
      </w:pPr>
      <w:r>
        <w:t>Record the time, environment, symptoms, commit, recent actions, and logs.</w:t>
      </w:r>
    </w:p>
    <w:p>
      <w:pPr>
        <w:pStyle w:val="ListNumber"/>
      </w:pPr>
      <w:r>
        <w:t>Preserve the affected state before overwriting it.</w:t>
      </w:r>
    </w:p>
    <w:p>
      <w:pPr>
        <w:pStyle w:val="ListNumber"/>
      </w:pPr>
      <w:r>
        <w:t>Classify code, configuration, data, authorization, credential, dependency, or external-provider impact.</w:t>
      </w:r>
    </w:p>
    <w:p>
      <w:pPr>
        <w:pStyle w:val="ListNumber"/>
      </w:pPr>
      <w:r>
        <w:t>Contain exposure or damage with the narrowest reversible action.</w:t>
      </w:r>
    </w:p>
    <w:p>
      <w:pPr>
        <w:pStyle w:val="ListNumber"/>
      </w:pPr>
      <w:r>
        <w:t>Restore code/configuration and reconcile data separately.</w:t>
      </w:r>
    </w:p>
    <w:p>
      <w:pPr>
        <w:pStyle w:val="ListNumber"/>
      </w:pPr>
      <w:r>
        <w:t>Rotate exposed credentials and inspect usage.</w:t>
      </w:r>
    </w:p>
    <w:p>
      <w:pPr>
        <w:pStyle w:val="ListNumber"/>
      </w:pPr>
      <w:r>
        <w:t>Run authorization, critical journey, data-integrity, and deployment health checks.</w:t>
      </w:r>
    </w:p>
    <w:p>
      <w:pPr>
        <w:pStyle w:val="ListNumber"/>
      </w:pPr>
      <w:r>
        <w:t>Add a regression test and update project instructions/runbooks.</w:t>
      </w:r>
    </w:p>
    <w:p>
      <w:r>
        <w:br w:type="page"/>
      </w:r>
    </w:p>
    <w:p>
      <w:pPr>
        <w:pStyle w:val="Heading1"/>
      </w:pPr>
      <w:r>
        <w:t>13. Convert a capstone into a credible portfolio asset</w:t>
      </w:r>
    </w:p>
    <w:p>
      <w:r>
        <w:t>A credible capstone demonstrates one real outcome, explains its authority boundary, and provides evidence. A large feature list is less persuasive than a narrow system that visibly works and fails safely.</w:t>
      </w:r>
    </w:p>
    <w:p>
      <w:pPr>
        <w:pStyle w:val="ListBullet"/>
      </w:pPr>
      <w:r>
        <w:t>Define one user, one problem, and one outcome observable in under three minutes.</w:t>
      </w:r>
    </w:p>
    <w:p>
      <w:pPr>
        <w:pStyle w:val="ListBullet"/>
      </w:pPr>
      <w:r>
        <w:t>Limit the MVP to three core capabilities.</w:t>
      </w:r>
    </w:p>
    <w:p>
      <w:pPr>
        <w:pStyle w:val="ListBullet"/>
      </w:pPr>
      <w:r>
        <w:t>Demonstrate real state or integration evidence, not only a generated interface.</w:t>
      </w:r>
    </w:p>
    <w:p>
      <w:pPr>
        <w:pStyle w:val="ListBullet"/>
      </w:pPr>
      <w:r>
        <w:t>Include one controlled failure or permission-boundary example.</w:t>
      </w:r>
    </w:p>
    <w:p>
      <w:pPr>
        <w:pStyle w:val="ListBullet"/>
      </w:pPr>
      <w:r>
        <w:t>Publish reproducible setup without secret values.</w:t>
      </w:r>
    </w:p>
    <w:p>
      <w:pPr>
        <w:pStyle w:val="ListBullet"/>
      </w:pPr>
      <w:r>
        <w:t>Disclose mocks, limitations, and unverified assumptions.</w:t>
      </w:r>
    </w:p>
    <w:p>
      <w:pPr>
        <w:pStyle w:val="ListBullet"/>
      </w:pPr>
      <w:r>
        <w:t>Use the included README, demo script, evaluation table, and case-study templates.</w:t>
      </w:r>
    </w:p>
    <w:p>
      <w:r>
        <w:br w:type="page"/>
      </w:r>
    </w:p>
    <w:p>
      <w:pPr>
        <w:pStyle w:val="Heading1"/>
      </w:pPr>
      <w:r>
        <w:t>14. Sixty-minute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0B1220"/>
          </w:tcPr>
          <w:p>
            <w:r>
              <w:rPr>
                <w:b/>
                <w:color w:val="FFFFFF"/>
                <w:sz w:val="17"/>
              </w:rPr>
              <w:t>Minutes</w:t>
            </w:r>
          </w:p>
        </w:tc>
        <w:tc>
          <w:tcPr>
            <w:tcW w:type="dxa" w:w="4896"/>
            <w:shd w:fill="0B1220"/>
          </w:tcPr>
          <w:p>
            <w:r>
              <w:rPr>
                <w:b/>
                <w:color w:val="FFFFFF"/>
                <w:sz w:val="17"/>
              </w:rPr>
              <w:t>Action</w:t>
            </w:r>
          </w:p>
        </w:tc>
        <w:tc>
          <w:tcPr>
            <w:tcW w:type="dxa" w:w="2880"/>
            <w:shd w:fill="0B1220"/>
          </w:tcPr>
          <w:p>
            <w:r>
              <w:rPr>
                <w:b/>
                <w:color w:val="FFFFFF"/>
                <w:sz w:val="17"/>
              </w:rPr>
              <w:t>Output</w:t>
            </w:r>
          </w:p>
        </w:tc>
      </w:tr>
      <w:tr>
        <w:tc>
          <w:tcPr>
            <w:tcW w:type="dxa" w:w="1440"/>
            <w:vAlign w:val="top"/>
          </w:tcPr>
          <w:p>
            <w:r>
              <w:rPr>
                <w:sz w:val="16"/>
              </w:rPr>
              <w:t>0-10</w:t>
            </w:r>
          </w:p>
        </w:tc>
        <w:tc>
          <w:tcPr>
            <w:tcW w:type="dxa" w:w="4896"/>
            <w:vAlign w:val="top"/>
          </w:tcPr>
          <w:p>
            <w:r>
              <w:rPr>
                <w:sz w:val="16"/>
              </w:rPr>
              <w:t>Copy project guardrails and select the tool-specific instruction file.</w:t>
            </w:r>
          </w:p>
        </w:tc>
        <w:tc>
          <w:tcPr>
            <w:tcW w:type="dxa" w:w="2880"/>
            <w:vAlign w:val="top"/>
          </w:tcPr>
          <w:p>
            <w:r>
              <w:rPr>
                <w:sz w:val="16"/>
              </w:rPr>
              <w:t>Persistent control layer</w:t>
            </w:r>
          </w:p>
        </w:tc>
      </w:tr>
      <w:tr>
        <w:tc>
          <w:tcPr>
            <w:tcW w:type="dxa" w:w="1440"/>
            <w:vAlign w:val="top"/>
          </w:tcPr>
          <w:p>
            <w:r>
              <w:rPr>
                <w:sz w:val="16"/>
              </w:rPr>
              <w:t>10-20</w:t>
            </w:r>
          </w:p>
        </w:tc>
        <w:tc>
          <w:tcPr>
            <w:tcW w:type="dxa" w:w="4896"/>
            <w:vAlign w:val="top"/>
          </w:tcPr>
          <w:p>
            <w:r>
              <w:rPr>
                <w:sz w:val="16"/>
              </w:rPr>
              <w:t>Complete project context, scope lock, protected files, and acceptance criteria.</w:t>
            </w:r>
          </w:p>
        </w:tc>
        <w:tc>
          <w:tcPr>
            <w:tcW w:type="dxa" w:w="2880"/>
            <w:vAlign w:val="top"/>
          </w:tcPr>
          <w:p>
            <w:r>
              <w:rPr>
                <w:sz w:val="16"/>
              </w:rPr>
              <w:t>Explicit authority and success definition</w:t>
            </w:r>
          </w:p>
        </w:tc>
      </w:tr>
      <w:tr>
        <w:tc>
          <w:tcPr>
            <w:tcW w:type="dxa" w:w="1440"/>
            <w:vAlign w:val="top"/>
          </w:tcPr>
          <w:p>
            <w:r>
              <w:rPr>
                <w:sz w:val="16"/>
              </w:rPr>
              <w:t>20-30</w:t>
            </w:r>
          </w:p>
        </w:tc>
        <w:tc>
          <w:tcPr>
            <w:tcW w:type="dxa" w:w="4896"/>
            <w:vAlign w:val="top"/>
          </w:tcPr>
          <w:p>
            <w:r>
              <w:rPr>
                <w:sz w:val="16"/>
              </w:rPr>
              <w:t>Create known-good checkpoint and rollback plan.</w:t>
            </w:r>
          </w:p>
        </w:tc>
        <w:tc>
          <w:tcPr>
            <w:tcW w:type="dxa" w:w="2880"/>
            <w:vAlign w:val="top"/>
          </w:tcPr>
          <w:p>
            <w:r>
              <w:rPr>
                <w:sz w:val="16"/>
              </w:rPr>
              <w:t>Recovery target</w:t>
            </w:r>
          </w:p>
        </w:tc>
      </w:tr>
      <w:tr>
        <w:tc>
          <w:tcPr>
            <w:tcW w:type="dxa" w:w="1440"/>
            <w:vAlign w:val="top"/>
          </w:tcPr>
          <w:p>
            <w:r>
              <w:rPr>
                <w:sz w:val="16"/>
              </w:rPr>
              <w:t>30-45</w:t>
            </w:r>
          </w:p>
        </w:tc>
        <w:tc>
          <w:tcPr>
            <w:tcW w:type="dxa" w:w="4896"/>
            <w:vAlign w:val="top"/>
          </w:tcPr>
          <w:p>
            <w:r>
              <w:rPr>
                <w:sz w:val="16"/>
              </w:rPr>
              <w:t>Open scorecard and answer only checks supported by evidence.</w:t>
            </w:r>
          </w:p>
        </w:tc>
        <w:tc>
          <w:tcPr>
            <w:tcW w:type="dxa" w:w="2880"/>
            <w:vAlign w:val="top"/>
          </w:tcPr>
          <w:p>
            <w:r>
              <w:rPr>
                <w:sz w:val="16"/>
              </w:rPr>
              <w:t>Truthful baseline score</w:t>
            </w:r>
          </w:p>
        </w:tc>
      </w:tr>
      <w:tr>
        <w:tc>
          <w:tcPr>
            <w:tcW w:type="dxa" w:w="1440"/>
            <w:vAlign w:val="top"/>
          </w:tcPr>
          <w:p>
            <w:r>
              <w:rPr>
                <w:sz w:val="16"/>
              </w:rPr>
              <w:t>45-55</w:t>
            </w:r>
          </w:p>
        </w:tc>
        <w:tc>
          <w:tcPr>
            <w:tcW w:type="dxa" w:w="4896"/>
            <w:vAlign w:val="top"/>
          </w:tcPr>
          <w:p>
            <w:r>
              <w:rPr>
                <w:sz w:val="16"/>
              </w:rPr>
              <w:t>Fix the highest-severity unknown/failure that can be resolved safely.</w:t>
            </w:r>
          </w:p>
        </w:tc>
        <w:tc>
          <w:tcPr>
            <w:tcW w:type="dxa" w:w="2880"/>
            <w:vAlign w:val="top"/>
          </w:tcPr>
          <w:p>
            <w:r>
              <w:rPr>
                <w:sz w:val="16"/>
              </w:rPr>
              <w:t>Reduced launch risk</w:t>
            </w:r>
          </w:p>
        </w:tc>
      </w:tr>
      <w:tr>
        <w:tc>
          <w:tcPr>
            <w:tcW w:type="dxa" w:w="1440"/>
            <w:vAlign w:val="top"/>
          </w:tcPr>
          <w:p>
            <w:r>
              <w:rPr>
                <w:sz w:val="16"/>
              </w:rPr>
              <w:t>55-60</w:t>
            </w:r>
          </w:p>
        </w:tc>
        <w:tc>
          <w:tcPr>
            <w:tcW w:type="dxa" w:w="4896"/>
            <w:vAlign w:val="top"/>
          </w:tcPr>
          <w:p>
            <w:r>
              <w:rPr>
                <w:sz w:val="16"/>
              </w:rPr>
              <w:t>Create go/no-go record and next-action sequence.</w:t>
            </w:r>
          </w:p>
        </w:tc>
        <w:tc>
          <w:tcPr>
            <w:tcW w:type="dxa" w:w="2880"/>
            <w:vAlign w:val="top"/>
          </w:tcPr>
          <w:p>
            <w:r>
              <w:rPr>
                <w:sz w:val="16"/>
              </w:rPr>
              <w:t>Controlled decision</w:t>
            </w:r>
          </w:p>
        </w:tc>
      </w:tr>
    </w:tbl>
    <w:p/>
    <w:tbl>
      <w:tblPr>
        <w:tblW w:type="auto" w:w="0"/>
        <w:jc w:val="center"/>
        <w:tblLayout w:type="fixed"/>
        <w:tblLook w:firstColumn="1" w:firstRow="1" w:lastColumn="0" w:lastRow="0" w:noHBand="0" w:noVBand="1" w:val="04A0"/>
      </w:tblPr>
      <w:tblGrid>
        <w:gridCol w:w="10080"/>
      </w:tblGrid>
      <w:tr>
        <w:tc>
          <w:tcPr>
            <w:tcW w:type="dxa" w:w="9648"/>
            <w:vAlign w:val="center"/>
            <w:shd w:fill="E0F2FE"/>
            <w:tcBorders>
              <w:top w:val="single" w:sz="8" w:color="0E7490"/>
              <w:left w:val="single" w:sz="8" w:color="0E7490"/>
              <w:bottom w:val="single" w:sz="8" w:color="0E7490"/>
              <w:right w:val="single" w:sz="8" w:color="0E7490"/>
            </w:tcBorders>
          </w:tcPr>
          <w:p>
            <w:r>
              <w:rPr>
                <w:b/>
                <w:color w:val="0B1220"/>
                <w:sz w:val="21"/>
              </w:rPr>
              <w:t>DO NOT RUSH THE SCORE</w:t>
              <w:br/>
            </w:r>
            <w:r>
              <w:rPr>
                <w:color w:val="334155"/>
                <w:sz w:val="18"/>
              </w:rPr>
              <w:t>The one-hour plan installs the control system and identifies truth. It does not make every project production-ready in one hour.</w:t>
            </w:r>
          </w:p>
        </w:tc>
      </w:tr>
    </w:tbl>
    <w:p/>
    <w:p>
      <w:r>
        <w:br w:type="page"/>
      </w:r>
    </w:p>
    <w:p>
      <w:pPr>
        <w:pStyle w:val="Heading1"/>
      </w:pPr>
      <w:r>
        <w:t>Appendix A - 12-point fast test</w:t>
      </w:r>
    </w:p>
    <w:p>
      <w:r>
        <w:t>1. Can one user retrieve or change another user’s data?</w:t>
      </w:r>
    </w:p>
    <w:p>
      <w:r>
        <w:t>2. Have anonymous and direct API access been tested?</w:t>
      </w:r>
    </w:p>
    <w:p>
      <w:r>
        <w:t>3. Are any secrets present in source, history, logs, prompts, or browser bundles?</w:t>
      </w:r>
    </w:p>
    <w:p>
      <w:r>
        <w:t>4. Are mock, demo, static, and fallback responses fully identified?</w:t>
      </w:r>
    </w:p>
    <w:p>
      <w:r>
        <w:t>5. Can a failed dependency produce apparent success?</w:t>
      </w:r>
    </w:p>
    <w:p>
      <w:r>
        <w:t>6. Are core working features protected by regression tests?</w:t>
      </w:r>
    </w:p>
    <w:p>
      <w:r>
        <w:t>7. Can the last known-good version be restored quickly?</w:t>
      </w:r>
    </w:p>
    <w:p>
      <w:r>
        <w:t>8. Are database/storage policies tested using normal user credentials?</w:t>
      </w:r>
    </w:p>
    <w:p>
      <w:r>
        <w:t>9. Does the coding agent have explicit limits and protected files?</w:t>
      </w:r>
    </w:p>
    <w:p>
      <w:r>
        <w:t>10. Are destructive/high-impact actions gated by approval?</w:t>
      </w:r>
    </w:p>
    <w:p>
      <w:r>
        <w:t>11. Does the release have evidence for every acceptance criterion?</w:t>
      </w:r>
    </w:p>
    <w:p>
      <w:r>
        <w:t>12. Has the deployed environment been tested from a clean account/session?</w:t>
      </w:r>
    </w:p>
    <w:p>
      <w:pPr>
        <w:pStyle w:val="Heading1"/>
      </w:pPr>
      <w:r>
        <w:t>Appendix B - Evidence standard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0B1220"/>
          </w:tcPr>
          <w:p>
            <w:r>
              <w:rPr>
                <w:b/>
                <w:color w:val="FFFFFF"/>
                <w:sz w:val="17"/>
              </w:rPr>
              <w:t>Claim</w:t>
            </w:r>
          </w:p>
        </w:tc>
        <w:tc>
          <w:tcPr>
            <w:tcW w:type="dxa" w:w="4608"/>
            <w:shd w:fill="0B1220"/>
          </w:tcPr>
          <w:p>
            <w:r>
              <w:rPr>
                <w:b/>
                <w:color w:val="FFFFFF"/>
                <w:sz w:val="17"/>
              </w:rPr>
              <w:t>Acceptable evidence</w:t>
            </w:r>
          </w:p>
        </w:tc>
        <w:tc>
          <w:tcPr>
            <w:tcW w:type="dxa" w:w="2736"/>
            <w:shd w:fill="0B1220"/>
          </w:tcPr>
          <w:p>
            <w:r>
              <w:rPr>
                <w:b/>
                <w:color w:val="FFFFFF"/>
                <w:sz w:val="17"/>
              </w:rPr>
              <w:t>Insufficient</w:t>
            </w:r>
          </w:p>
        </w:tc>
      </w:tr>
      <w:tr>
        <w:tc>
          <w:tcPr>
            <w:tcW w:type="dxa" w:w="2016"/>
            <w:vAlign w:val="top"/>
          </w:tcPr>
          <w:p>
            <w:r>
              <w:rPr>
                <w:sz w:val="16"/>
              </w:rPr>
              <w:t>Tests pass</w:t>
            </w:r>
          </w:p>
        </w:tc>
        <w:tc>
          <w:tcPr>
            <w:tcW w:type="dxa" w:w="4608"/>
            <w:vAlign w:val="top"/>
          </w:tcPr>
          <w:p>
            <w:r>
              <w:rPr>
                <w:sz w:val="16"/>
              </w:rPr>
              <w:t>Command, environment, dated output, and relevant scope</w:t>
            </w:r>
          </w:p>
        </w:tc>
        <w:tc>
          <w:tcPr>
            <w:tcW w:type="dxa" w:w="2736"/>
            <w:vAlign w:val="top"/>
          </w:tcPr>
          <w:p>
            <w:r>
              <w:rPr>
                <w:sz w:val="16"/>
              </w:rPr>
              <w:t>“I tested it”</w:t>
            </w:r>
          </w:p>
        </w:tc>
      </w:tr>
      <w:tr>
        <w:tc>
          <w:tcPr>
            <w:tcW w:type="dxa" w:w="2016"/>
            <w:vAlign w:val="top"/>
          </w:tcPr>
          <w:p>
            <w:r>
              <w:rPr>
                <w:sz w:val="16"/>
              </w:rPr>
              <w:t>Authorization works</w:t>
            </w:r>
          </w:p>
        </w:tc>
        <w:tc>
          <w:tcPr>
            <w:tcW w:type="dxa" w:w="4608"/>
            <w:vAlign w:val="top"/>
          </w:tcPr>
          <w:p>
            <w:r>
              <w:rPr>
                <w:sz w:val="16"/>
              </w:rPr>
              <w:t>Actor-based direct boundary tests</w:t>
            </w:r>
          </w:p>
        </w:tc>
        <w:tc>
          <w:tcPr>
            <w:tcW w:type="dxa" w:w="2736"/>
            <w:vAlign w:val="top"/>
          </w:tcPr>
          <w:p>
            <w:r>
              <w:rPr>
                <w:sz w:val="16"/>
              </w:rPr>
              <w:t>Hidden UI controls</w:t>
            </w:r>
          </w:p>
        </w:tc>
      </w:tr>
      <w:tr>
        <w:tc>
          <w:tcPr>
            <w:tcW w:type="dxa" w:w="2016"/>
            <w:vAlign w:val="top"/>
          </w:tcPr>
          <w:p>
            <w:r>
              <w:rPr>
                <w:sz w:val="16"/>
              </w:rPr>
              <w:t>No secrets exposed</w:t>
            </w:r>
          </w:p>
        </w:tc>
        <w:tc>
          <w:tcPr>
            <w:tcW w:type="dxa" w:w="4608"/>
            <w:vAlign w:val="top"/>
          </w:tcPr>
          <w:p>
            <w:r>
              <w:rPr>
                <w:sz w:val="16"/>
              </w:rPr>
              <w:t>Source/history/bundle/log checks and rotation record where needed</w:t>
            </w:r>
          </w:p>
        </w:tc>
        <w:tc>
          <w:tcPr>
            <w:tcW w:type="dxa" w:w="2736"/>
            <w:vAlign w:val="top"/>
          </w:tcPr>
          <w:p>
            <w:r>
              <w:rPr>
                <w:sz w:val="16"/>
              </w:rPr>
              <w:t>No .env file visible</w:t>
            </w:r>
          </w:p>
        </w:tc>
      </w:tr>
      <w:tr>
        <w:tc>
          <w:tcPr>
            <w:tcW w:type="dxa" w:w="2016"/>
            <w:vAlign w:val="top"/>
          </w:tcPr>
          <w:p>
            <w:r>
              <w:rPr>
                <w:sz w:val="16"/>
              </w:rPr>
              <w:t>Integration works</w:t>
            </w:r>
          </w:p>
        </w:tc>
        <w:tc>
          <w:tcPr>
            <w:tcW w:type="dxa" w:w="4608"/>
            <w:vAlign w:val="top"/>
          </w:tcPr>
          <w:p>
            <w:r>
              <w:rPr>
                <w:sz w:val="16"/>
              </w:rPr>
              <w:t>Real test transaction/state and failure test</w:t>
            </w:r>
          </w:p>
        </w:tc>
        <w:tc>
          <w:tcPr>
            <w:tcW w:type="dxa" w:w="2736"/>
            <w:vAlign w:val="top"/>
          </w:tcPr>
          <w:p>
            <w:r>
              <w:rPr>
                <w:sz w:val="16"/>
              </w:rPr>
              <w:t>Successful-looking UI</w:t>
            </w:r>
          </w:p>
        </w:tc>
      </w:tr>
      <w:tr>
        <w:tc>
          <w:tcPr>
            <w:tcW w:type="dxa" w:w="2016"/>
            <w:vAlign w:val="top"/>
          </w:tcPr>
          <w:p>
            <w:r>
              <w:rPr>
                <w:sz w:val="16"/>
              </w:rPr>
              <w:t>Rollback works</w:t>
            </w:r>
          </w:p>
        </w:tc>
        <w:tc>
          <w:tcPr>
            <w:tcW w:type="dxa" w:w="4608"/>
            <w:vAlign w:val="top"/>
          </w:tcPr>
          <w:p>
            <w:r>
              <w:rPr>
                <w:sz w:val="16"/>
              </w:rPr>
              <w:t>Recorded drill and post-rollback checks</w:t>
            </w:r>
          </w:p>
        </w:tc>
        <w:tc>
          <w:tcPr>
            <w:tcW w:type="dxa" w:w="2736"/>
            <w:vAlign w:val="top"/>
          </w:tcPr>
          <w:p>
            <w:r>
              <w:rPr>
                <w:sz w:val="16"/>
              </w:rPr>
              <w:t>Written instructions only</w:t>
            </w:r>
          </w:p>
        </w:tc>
      </w:tr>
      <w:tr>
        <w:tc>
          <w:tcPr>
            <w:tcW w:type="dxa" w:w="2016"/>
            <w:vAlign w:val="top"/>
          </w:tcPr>
          <w:p>
            <w:r>
              <w:rPr>
                <w:sz w:val="16"/>
              </w:rPr>
              <w:t>Acceptance criterion met</w:t>
            </w:r>
          </w:p>
        </w:tc>
        <w:tc>
          <w:tcPr>
            <w:tcW w:type="dxa" w:w="4608"/>
            <w:vAlign w:val="top"/>
          </w:tcPr>
          <w:p>
            <w:r>
              <w:rPr>
                <w:sz w:val="16"/>
              </w:rPr>
              <w:t>Criterion-specific observable result</w:t>
            </w:r>
          </w:p>
        </w:tc>
        <w:tc>
          <w:tcPr>
            <w:tcW w:type="dxa" w:w="2736"/>
            <w:vAlign w:val="top"/>
          </w:tcPr>
          <w:p>
            <w:r>
              <w:rPr>
                <w:sz w:val="16"/>
              </w:rPr>
              <w:t>Agent self-report</w:t>
            </w:r>
          </w:p>
        </w:tc>
      </w:tr>
    </w:tbl>
    <w:p/>
    <w:p>
      <w:pPr>
        <w:pStyle w:val="Heading1"/>
      </w:pPr>
      <w:r>
        <w:t>Appendix C - File map</w:t>
      </w:r>
    </w:p>
    <w:p>
      <w:r>
        <w:rPr>
          <w:b/>
          <w:color w:val="0E7490"/>
        </w:rPr>
        <w:t>01_AGENT_GUARDRAILS</w:t>
      </w:r>
      <w:r>
        <w:t xml:space="preserve"> - Persistent cross-platform instructions and task reporting.</w:t>
      </w:r>
    </w:p>
    <w:p>
      <w:r>
        <w:rPr>
          <w:b/>
          <w:color w:val="0E7490"/>
        </w:rPr>
        <w:t>02_PROJECT_CONTROL</w:t>
      </w:r>
      <w:r>
        <w:t xml:space="preserve"> - Context, scope, acceptance, protected behavior, and decisions.</w:t>
      </w:r>
    </w:p>
    <w:p>
      <w:r>
        <w:rPr>
          <w:b/>
          <w:color w:val="0E7490"/>
        </w:rPr>
        <w:t>03_TESTING_AND_QA</w:t>
      </w:r>
      <w:r>
        <w:t xml:space="preserve"> - Functional, failure-mode, regression, and evidence templates.</w:t>
      </w:r>
    </w:p>
    <w:p>
      <w:r>
        <w:rPr>
          <w:b/>
          <w:color w:val="0E7490"/>
        </w:rPr>
        <w:t>04_SECURITY_PREFLIGHT</w:t>
      </w:r>
      <w:r>
        <w:t xml:space="preserve"> - Authorization, secrets, input, AI, and Supabase checks.</w:t>
      </w:r>
    </w:p>
    <w:p>
      <w:r>
        <w:rPr>
          <w:b/>
          <w:color w:val="0E7490"/>
        </w:rPr>
        <w:t>05_CHECKPOINTS_AND_ROLLBACK</w:t>
      </w:r>
      <w:r>
        <w:t xml:space="preserve"> - Known-good checkpoints, recovery, and safe helper scripts.</w:t>
      </w:r>
    </w:p>
    <w:p>
      <w:r>
        <w:rPr>
          <w:b/>
          <w:color w:val="0E7490"/>
        </w:rPr>
        <w:t>06_LAUNCH_READINESS</w:t>
      </w:r>
      <w:r>
        <w:t xml:space="preserve"> - Scored workbook, go/no-go decision, and post-deploy checks.</w:t>
      </w:r>
    </w:p>
    <w:p>
      <w:r>
        <w:rPr>
          <w:b/>
          <w:color w:val="0E7490"/>
        </w:rPr>
        <w:t>07_CAPSTONE_AND_PORTFOLIO</w:t>
      </w:r>
      <w:r>
        <w:t xml:space="preserve"> - Capstone, README, demo, case-study, and submission assets.</w:t>
      </w:r>
    </w:p>
    <w:p>
      <w:r>
        <w:rPr>
          <w:b/>
          <w:color w:val="0E7490"/>
        </w:rPr>
        <w:t>08_CLIENT_AND_COMMERCIAL</w:t>
      </w:r>
      <w:r>
        <w:t xml:space="preserve"> - Client intake, audit report, and acceptance templates.</w:t>
      </w:r>
    </w:p>
    <w:p>
      <w:r>
        <w:rPr>
          <w:b/>
          <w:color w:val="0E7490"/>
        </w:rPr>
        <w:t>09_BONUS_QUICK_TOOLS</w:t>
      </w:r>
      <w:r>
        <w:t xml:space="preserve"> - Fast test, task brief, risk register, and scanner question bank.</w:t>
      </w:r>
    </w:p>
    <w:p>
      <w:pPr>
        <w:pStyle w:val="Heading2"/>
      </w:pPr>
      <w:r>
        <w:t>Official references</w:t>
      </w:r>
    </w:p>
    <w:p>
      <w:pPr>
        <w:pStyle w:val="ListBullet"/>
      </w:pPr>
      <w:r>
        <w:t>OpenAI Codex AGENTS.md: https://developers.openai.com/codex/guides/agents-md</w:t>
      </w:r>
    </w:p>
    <w:p>
      <w:pPr>
        <w:pStyle w:val="ListBullet"/>
      </w:pPr>
      <w:r>
        <w:t>OpenAI Codex best practices: https://developers.openai.com/codex/learn/best-practices</w:t>
      </w:r>
    </w:p>
    <w:p>
      <w:pPr>
        <w:pStyle w:val="ListBullet"/>
      </w:pPr>
      <w:r>
        <w:t>Anthropic Claude Code project memory: https://docs.anthropic.com/en/docs/claude-code/memory</w:t>
      </w:r>
    </w:p>
    <w:p>
      <w:pPr>
        <w:pStyle w:val="ListBullet"/>
      </w:pPr>
      <w:r>
        <w:t>Google Gemini CLI GEMINI.md: https://google-gemini.github.io/gemini-cli/docs/cli/gemini-md.html</w:t>
      </w:r>
    </w:p>
    <w:p>
      <w:pPr>
        <w:pStyle w:val="ListBullet"/>
      </w:pPr>
      <w:r>
        <w:t>OWASP ASVS index: https://cheatsheetseries.owasp.org/IndexASVS.html</w:t>
      </w:r>
    </w:p>
    <w:p>
      <w:pPr>
        <w:pStyle w:val="ListBullet"/>
      </w:pPr>
      <w:r>
        <w:t>OWASP Secure Code Review: https://cheatsheetseries.owasp.org/cheatsheets/Secure_Code_Review_Cheat_Sheet.html</w:t>
      </w:r>
    </w:p>
    <w:p>
      <w:pPr>
        <w:pStyle w:val="ListBullet"/>
      </w:pPr>
      <w:r>
        <w:t>OWASP Secrets Management: https://cheatsheetseries.owasp.org/cheatsheets/Secrets_Management_Cheat_Sheet.html</w:t>
      </w:r>
    </w:p>
    <w:p>
      <w:pPr>
        <w:pStyle w:val="ListBullet"/>
      </w:pPr>
      <w:r>
        <w:t>Supabase RLS: https://supabase.com/docs/guides/database/postgres/row-level-security</w:t>
      </w:r>
    </w:p>
    <w:p>
      <w:pPr>
        <w:pStyle w:val="ListBullet"/>
      </w:pPr>
      <w:r>
        <w:t>Supabase Storage access control: https://supabase.com/docs/guides/storage/security/access-control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SHIPSAFE AI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B122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2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w:hAnsi="Aptos"/>
      <w:b w:val="0"/>
      <w:i/>
      <w:iCs/>
      <w:color w:val="0E749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