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1440"/>
        <w:jc w:val="center"/>
      </w:pPr>
      <w:r>
        <w:rPr>
          <w:b/>
          <w:color w:val="0E7490"/>
          <w:sz w:val="32"/>
        </w:rPr>
        <w:t>SHIPSAFE AI</w:t>
      </w:r>
    </w:p>
    <w:p>
      <w:pPr>
        <w:spacing w:before="320"/>
        <w:jc w:val="center"/>
      </w:pPr>
      <w:r>
        <w:rPr>
          <w:b/>
          <w:color w:val="0B1220"/>
          <w:sz w:val="60"/>
        </w:rPr>
        <w:t>CLIENT READINESS AUDIT</w:t>
      </w:r>
    </w:p>
    <w:p>
      <w:pPr>
        <w:spacing w:before="200"/>
        <w:jc w:val="center"/>
      </w:pPr>
      <w:r>
        <w:rPr>
          <w:color w:val="334155"/>
          <w:sz w:val="28"/>
        </w:rPr>
        <w:t>Professional report template for reviewing an AI-built application.</w:t>
      </w:r>
    </w:p>
    <w:p>
      <w:pPr>
        <w:spacing w:before="720"/>
        <w:jc w:val="center"/>
      </w:pPr>
      <w:r>
        <w:rPr>
          <w:b/>
          <w:color w:val="0E7490"/>
          <w:sz w:val="20"/>
        </w:rPr>
        <w:t>CONTROL THE AGENT. PROTECT THE PROJECT. SHIP WITH EVIDENCE.</w:t>
      </w:r>
    </w:p>
    <w:p>
      <w:pPr>
        <w:spacing w:before="3000"/>
        <w:jc w:val="center"/>
      </w:pPr>
      <w:r>
        <w:rPr>
          <w:color w:val="64748B"/>
          <w:sz w:val="18"/>
        </w:rPr>
        <w:t>Version 1.0 | June 2026</w:t>
      </w:r>
    </w:p>
    <w:p>
      <w:r>
        <w:br w:type="page"/>
      </w:r>
    </w:p>
    <w:p>
      <w:pPr>
        <w:pStyle w:val="Heading1"/>
      </w:pPr>
      <w:r>
        <w:t>Executive summary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040"/>
        <w:gridCol w:w="5040"/>
      </w:tblGrid>
      <w:tr>
        <w:tc>
          <w:tcPr>
            <w:tcW w:type="dxa" w:w="3456"/>
            <w:shd w:fill="0B1220"/>
          </w:tcPr>
          <w:p>
            <w:r>
              <w:rPr>
                <w:b/>
                <w:color w:val="FFFFFF"/>
                <w:sz w:val="17"/>
              </w:rPr>
              <w:t>Metric</w:t>
            </w:r>
          </w:p>
        </w:tc>
        <w:tc>
          <w:tcPr>
            <w:tcW w:type="dxa" w:w="5760"/>
            <w:shd w:fill="0B1220"/>
          </w:tcPr>
          <w:p>
            <w:r>
              <w:rPr>
                <w:b/>
                <w:color w:val="FFFFFF"/>
                <w:sz w:val="17"/>
              </w:rPr>
              <w:t>Result</w:t>
            </w:r>
          </w:p>
        </w:tc>
      </w:tr>
      <w:tr>
        <w:tc>
          <w:tcPr>
            <w:tcW w:type="dxa" w:w="3456"/>
            <w:vAlign w:val="top"/>
          </w:tcPr>
          <w:p>
            <w:r>
              <w:rPr>
                <w:sz w:val="16"/>
              </w:rPr>
              <w:t>Overall readiness score</w:t>
            </w:r>
          </w:p>
        </w:tc>
        <w:tc>
          <w:tcPr>
            <w:tcW w:type="dxa" w:w="5760"/>
            <w:vAlign w:val="top"/>
          </w:tcPr>
          <w:p>
            <w:r>
              <w:rPr>
                <w:sz w:val="16"/>
              </w:rPr>
            </w:r>
          </w:p>
        </w:tc>
      </w:tr>
      <w:tr>
        <w:tc>
          <w:tcPr>
            <w:tcW w:type="dxa" w:w="3456"/>
            <w:vAlign w:val="top"/>
          </w:tcPr>
          <w:p>
            <w:r>
              <w:rPr>
                <w:sz w:val="16"/>
              </w:rPr>
              <w:t>Decision</w:t>
            </w:r>
          </w:p>
        </w:tc>
        <w:tc>
          <w:tcPr>
            <w:tcW w:type="dxa" w:w="5760"/>
            <w:vAlign w:val="top"/>
          </w:tcPr>
          <w:p>
            <w:r>
              <w:rPr>
                <w:sz w:val="16"/>
              </w:rPr>
            </w:r>
          </w:p>
        </w:tc>
      </w:tr>
      <w:tr>
        <w:tc>
          <w:tcPr>
            <w:tcW w:type="dxa" w:w="3456"/>
            <w:vAlign w:val="top"/>
          </w:tcPr>
          <w:p>
            <w:r>
              <w:rPr>
                <w:sz w:val="16"/>
              </w:rPr>
              <w:t>Critical findings</w:t>
            </w:r>
          </w:p>
        </w:tc>
        <w:tc>
          <w:tcPr>
            <w:tcW w:type="dxa" w:w="5760"/>
            <w:vAlign w:val="top"/>
          </w:tcPr>
          <w:p>
            <w:r>
              <w:rPr>
                <w:sz w:val="16"/>
              </w:rPr>
            </w:r>
          </w:p>
        </w:tc>
      </w:tr>
      <w:tr>
        <w:tc>
          <w:tcPr>
            <w:tcW w:type="dxa" w:w="3456"/>
            <w:vAlign w:val="top"/>
          </w:tcPr>
          <w:p>
            <w:r>
              <w:rPr>
                <w:sz w:val="16"/>
              </w:rPr>
              <w:t>Recommended next action</w:t>
            </w:r>
          </w:p>
        </w:tc>
        <w:tc>
          <w:tcPr>
            <w:tcW w:type="dxa" w:w="5760"/>
            <w:vAlign w:val="top"/>
          </w:tcPr>
          <w:p>
            <w:r>
              <w:rPr>
                <w:sz w:val="16"/>
              </w:rPr>
            </w:r>
          </w:p>
        </w:tc>
      </w:tr>
    </w:tbl>
    <w:p/>
    <w:p>
      <w:pPr>
        <w:pStyle w:val="Heading1"/>
      </w:pPr>
      <w:r>
        <w:t>Scope and limitations</w:t>
      </w:r>
    </w:p>
    <w:p>
      <w:r>
        <w:t>Document exactly what was reviewed, the environments and access provided, the date, excluded areas, and the difference between this readiness review and a penetration test, compliance assessment, or guarantee.</w:t>
      </w:r>
    </w:p>
    <w:p>
      <w:pPr>
        <w:pStyle w:val="Heading1"/>
      </w:pPr>
      <w:r>
        <w:t>Architecture reviewed</w:t>
      </w:r>
    </w:p>
    <w:p>
      <w:r>
        <w:t>Front end, back end, database, authentication, storage, hosting, external services, AI models/agents, and data classes.</w:t>
      </w:r>
    </w:p>
    <w:p>
      <w:pPr>
        <w:pStyle w:val="Heading1"/>
      </w:pPr>
      <w:r>
        <w:t>Findings register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680"/>
        <w:gridCol w:w="1680"/>
        <w:gridCol w:w="1680"/>
        <w:gridCol w:w="1680"/>
        <w:gridCol w:w="1680"/>
        <w:gridCol w:w="1680"/>
      </w:tblGrid>
      <w:tr>
        <w:tc>
          <w:tcPr>
            <w:tcW w:type="dxa" w:w="1008"/>
            <w:shd w:fill="0B1220"/>
          </w:tcPr>
          <w:p>
            <w:r>
              <w:rPr>
                <w:b/>
                <w:color w:val="FFFFFF"/>
                <w:sz w:val="17"/>
              </w:rPr>
              <w:t>ID</w:t>
            </w:r>
          </w:p>
        </w:tc>
        <w:tc>
          <w:tcPr>
            <w:tcW w:type="dxa" w:w="1584"/>
            <w:shd w:fill="0B1220"/>
          </w:tcPr>
          <w:p>
            <w:r>
              <w:rPr>
                <w:b/>
                <w:color w:val="FFFFFF"/>
                <w:sz w:val="17"/>
              </w:rPr>
              <w:t>Area</w:t>
            </w:r>
          </w:p>
        </w:tc>
        <w:tc>
          <w:tcPr>
            <w:tcW w:type="dxa" w:w="1296"/>
            <w:shd w:fill="0B1220"/>
          </w:tcPr>
          <w:p>
            <w:r>
              <w:rPr>
                <w:b/>
                <w:color w:val="FFFFFF"/>
                <w:sz w:val="17"/>
              </w:rPr>
              <w:t>Severity</w:t>
            </w:r>
          </w:p>
        </w:tc>
        <w:tc>
          <w:tcPr>
            <w:tcW w:type="dxa" w:w="2736"/>
            <w:shd w:fill="0B1220"/>
          </w:tcPr>
          <w:p>
            <w:r>
              <w:rPr>
                <w:b/>
                <w:color w:val="FFFFFF"/>
                <w:sz w:val="17"/>
              </w:rPr>
              <w:t>Finding</w:t>
            </w:r>
          </w:p>
        </w:tc>
        <w:tc>
          <w:tcPr>
            <w:tcW w:type="dxa" w:w="2016"/>
            <w:shd w:fill="0B1220"/>
          </w:tcPr>
          <w:p>
            <w:r>
              <w:rPr>
                <w:b/>
                <w:color w:val="FFFFFF"/>
                <w:sz w:val="17"/>
              </w:rPr>
              <w:t>Evidence</w:t>
            </w:r>
          </w:p>
        </w:tc>
        <w:tc>
          <w:tcPr>
            <w:tcW w:type="dxa" w:w="2016"/>
            <w:shd w:fill="0B1220"/>
          </w:tcPr>
          <w:p>
            <w:r>
              <w:rPr>
                <w:b/>
                <w:color w:val="FFFFFF"/>
                <w:sz w:val="17"/>
              </w:rPr>
              <w:t>Required action</w:t>
            </w:r>
          </w:p>
        </w:tc>
      </w:tr>
      <w:tr>
        <w:tc>
          <w:tcPr>
            <w:tcW w:type="dxa" w:w="1008"/>
            <w:vAlign w:val="top"/>
          </w:tcPr>
          <w:p>
            <w:r>
              <w:rPr>
                <w:sz w:val="16"/>
              </w:rPr>
              <w:t>F-001</w:t>
            </w:r>
          </w:p>
        </w:tc>
        <w:tc>
          <w:tcPr>
            <w:tcW w:type="dxa" w:w="1584"/>
            <w:vAlign w:val="top"/>
          </w:tcPr>
          <w:p>
            <w:r>
              <w:rPr>
                <w:sz w:val="16"/>
              </w:rPr>
            </w:r>
          </w:p>
        </w:tc>
        <w:tc>
          <w:tcPr>
            <w:tcW w:type="dxa" w:w="1296"/>
            <w:vAlign w:val="top"/>
          </w:tcPr>
          <w:p>
            <w:r>
              <w:rPr>
                <w:sz w:val="16"/>
              </w:rPr>
            </w:r>
          </w:p>
        </w:tc>
        <w:tc>
          <w:tcPr>
            <w:tcW w:type="dxa" w:w="2736"/>
            <w:vAlign w:val="top"/>
          </w:tcPr>
          <w:p>
            <w:r>
              <w:rPr>
                <w:sz w:val="16"/>
              </w:rPr>
            </w:r>
          </w:p>
        </w:tc>
        <w:tc>
          <w:tcPr>
            <w:tcW w:type="dxa" w:w="2016"/>
            <w:vAlign w:val="top"/>
          </w:tcPr>
          <w:p>
            <w:r>
              <w:rPr>
                <w:sz w:val="16"/>
              </w:rPr>
            </w:r>
          </w:p>
        </w:tc>
        <w:tc>
          <w:tcPr>
            <w:tcW w:type="dxa" w:w="2016"/>
            <w:vAlign w:val="top"/>
          </w:tcPr>
          <w:p>
            <w:r>
              <w:rPr>
                <w:sz w:val="16"/>
              </w:rPr>
            </w:r>
          </w:p>
        </w:tc>
      </w:tr>
    </w:tbl>
    <w:p/>
    <w:p>
      <w:pPr>
        <w:pStyle w:val="Heading1"/>
      </w:pPr>
      <w:r>
        <w:t>Launch blockers</w:t>
      </w:r>
    </w:p>
    <w:p>
      <w:pPr>
        <w:pStyle w:val="ListBullet"/>
      </w:pPr>
      <w:r/>
    </w:p>
    <w:p>
      <w:pPr>
        <w:pStyle w:val="Heading1"/>
      </w:pPr>
      <w:r>
        <w:t>24-hour correction plan</w:t>
      </w:r>
    </w:p>
    <w:p>
      <w:pPr>
        <w:pStyle w:val="ListBullet"/>
      </w:pPr>
      <w:r/>
    </w:p>
    <w:p>
      <w:pPr>
        <w:pStyle w:val="Heading1"/>
      </w:pPr>
      <w:r>
        <w:t>Seven-day correction plan</w:t>
      </w:r>
    </w:p>
    <w:p>
      <w:pPr>
        <w:pStyle w:val="ListBullet"/>
      </w:pPr>
      <w:r/>
    </w:p>
    <w:p>
      <w:pPr>
        <w:pStyle w:val="Heading1"/>
      </w:pPr>
      <w:r>
        <w:t>Residual risk and acceptance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680"/>
        <w:gridCol w:w="1680"/>
        <w:gridCol w:w="1680"/>
        <w:gridCol w:w="1680"/>
        <w:gridCol w:w="1680"/>
        <w:gridCol w:w="1680"/>
      </w:tblGrid>
      <w:tr>
        <w:tc>
          <w:tcPr>
            <w:tcW w:type="dxa" w:w="2016"/>
            <w:shd w:fill="0B1220"/>
          </w:tcPr>
          <w:p>
            <w:r>
              <w:rPr>
                <w:b/>
                <w:color w:val="FFFFFF"/>
                <w:sz w:val="17"/>
              </w:rPr>
              <w:t>Risk</w:t>
            </w:r>
          </w:p>
        </w:tc>
        <w:tc>
          <w:tcPr>
            <w:tcW w:type="dxa" w:w="1440"/>
            <w:shd w:fill="0B1220"/>
          </w:tcPr>
          <w:p>
            <w:r>
              <w:rPr>
                <w:b/>
                <w:color w:val="FFFFFF"/>
                <w:sz w:val="17"/>
              </w:rPr>
              <w:t>Likelihood</w:t>
            </w:r>
          </w:p>
        </w:tc>
        <w:tc>
          <w:tcPr>
            <w:tcW w:type="dxa" w:w="1440"/>
            <w:shd w:fill="0B1220"/>
          </w:tcPr>
          <w:p>
            <w:r>
              <w:rPr>
                <w:b/>
                <w:color w:val="FFFFFF"/>
                <w:sz w:val="17"/>
              </w:rPr>
              <w:t>Impact</w:t>
            </w:r>
          </w:p>
        </w:tc>
        <w:tc>
          <w:tcPr>
            <w:tcW w:type="dxa" w:w="2304"/>
            <w:shd w:fill="0B1220"/>
          </w:tcPr>
          <w:p>
            <w:r>
              <w:rPr>
                <w:b/>
                <w:color w:val="FFFFFF"/>
                <w:sz w:val="17"/>
              </w:rPr>
              <w:t>Control</w:t>
            </w:r>
          </w:p>
        </w:tc>
        <w:tc>
          <w:tcPr>
            <w:tcW w:type="dxa" w:w="1440"/>
            <w:shd w:fill="0B1220"/>
          </w:tcPr>
          <w:p>
            <w:r>
              <w:rPr>
                <w:b/>
                <w:color w:val="FFFFFF"/>
                <w:sz w:val="17"/>
              </w:rPr>
              <w:t>Owner</w:t>
            </w:r>
          </w:p>
        </w:tc>
        <w:tc>
          <w:tcPr>
            <w:tcW w:type="dxa" w:w="1296"/>
            <w:shd w:fill="0B1220"/>
          </w:tcPr>
          <w:p>
            <w:r>
              <w:rPr>
                <w:b/>
                <w:color w:val="FFFFFF"/>
                <w:sz w:val="17"/>
              </w:rPr>
              <w:t>Accepted</w:t>
            </w:r>
          </w:p>
        </w:tc>
      </w:tr>
      <w:tr>
        <w:tc>
          <w:tcPr>
            <w:tcW w:type="dxa" w:w="2016"/>
            <w:vAlign w:val="top"/>
          </w:tcPr>
          <w:p>
            <w:r>
              <w:rPr>
                <w:sz w:val="16"/>
              </w:rPr>
            </w:r>
          </w:p>
        </w:tc>
        <w:tc>
          <w:tcPr>
            <w:tcW w:type="dxa" w:w="1440"/>
            <w:vAlign w:val="top"/>
          </w:tcPr>
          <w:p>
            <w:r>
              <w:rPr>
                <w:sz w:val="16"/>
              </w:rPr>
            </w:r>
          </w:p>
        </w:tc>
        <w:tc>
          <w:tcPr>
            <w:tcW w:type="dxa" w:w="1440"/>
            <w:vAlign w:val="top"/>
          </w:tcPr>
          <w:p>
            <w:r>
              <w:rPr>
                <w:sz w:val="16"/>
              </w:rPr>
            </w:r>
          </w:p>
        </w:tc>
        <w:tc>
          <w:tcPr>
            <w:tcW w:type="dxa" w:w="2304"/>
            <w:vAlign w:val="top"/>
          </w:tcPr>
          <w:p>
            <w:r>
              <w:rPr>
                <w:sz w:val="16"/>
              </w:rPr>
            </w:r>
          </w:p>
        </w:tc>
        <w:tc>
          <w:tcPr>
            <w:tcW w:type="dxa" w:w="1440"/>
            <w:vAlign w:val="top"/>
          </w:tcPr>
          <w:p>
            <w:r>
              <w:rPr>
                <w:sz w:val="16"/>
              </w:rPr>
            </w:r>
          </w:p>
        </w:tc>
        <w:tc>
          <w:tcPr>
            <w:tcW w:type="dxa" w:w="1296"/>
            <w:vAlign w:val="top"/>
          </w:tcPr>
          <w:p>
            <w:r>
              <w:rPr>
                <w:sz w:val="16"/>
              </w:rPr>
            </w:r>
          </w:p>
        </w:tc>
      </w:tr>
    </w:tbl>
    <w:p/>
    <w:p>
      <w:pPr>
        <w:pStyle w:val="Heading1"/>
      </w:pPr>
      <w:r>
        <w:t>Evidence appendix</w:t>
      </w:r>
    </w:p>
    <w:p>
      <w:r>
        <w:t>Attach or reference test output, authorization matrices, security preflight results, diff review, deployment evidence, and rollback validation.</w:t>
      </w:r>
    </w:p>
    <w:p>
      <w:r>
        <w:t>This report is a point-in-time readiness assessment, not a warranty, certification, legal opinion, or penetration test.</w:t>
      </w:r>
    </w:p>
    <w:p>
      <w:pPr>
        <w:pStyle w:val="Heading1"/>
      </w:pPr>
      <w:r>
        <w:t>Assessment method</w:t>
      </w:r>
    </w:p>
    <w:p>
      <w:r>
        <w:t>Record Pass only when evidence supports the requirement. Unknown is treated as risk. A numeric score never overrides a failed or unknown Critical control.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040"/>
        <w:gridCol w:w="5040"/>
      </w:tblGrid>
      <w:tr>
        <w:tc>
          <w:tcPr>
            <w:tcW w:type="dxa" w:w="5040"/>
            <w:shd w:fill="0B1220"/>
          </w:tcPr>
          <w:p>
            <w:r>
              <w:rPr>
                <w:b/>
                <w:color w:val="FFFFFF"/>
                <w:sz w:val="16"/>
              </w:rPr>
              <w:t>Rating</w:t>
            </w:r>
          </w:p>
        </w:tc>
        <w:tc>
          <w:tcPr>
            <w:tcW w:type="dxa" w:w="5040"/>
            <w:shd w:fill="0B1220"/>
          </w:tcPr>
          <w:p>
            <w:r>
              <w:rPr>
                <w:b/>
                <w:color w:val="FFFFFF"/>
                <w:sz w:val="16"/>
              </w:rPr>
              <w:t>Meaning</w:t>
            </w:r>
          </w:p>
        </w:tc>
      </w:tr>
      <w:tr>
        <w:tc>
          <w:tcPr>
            <w:tcW w:type="dxa" w:w="5040"/>
          </w:tcPr>
          <w:p>
            <w:r>
              <w:rPr>
                <w:sz w:val="16"/>
              </w:rPr>
              <w:t>Critical</w:t>
            </w:r>
          </w:p>
        </w:tc>
        <w:tc>
          <w:tcPr>
            <w:tcW w:type="dxa" w:w="5040"/>
          </w:tcPr>
          <w:p>
            <w:r>
              <w:rPr>
                <w:sz w:val="16"/>
              </w:rPr>
              <w:t>A failure may expose data, bypass authority, create false success, cause irreversible damage, or prevent recovery.</w:t>
            </w:r>
          </w:p>
        </w:tc>
      </w:tr>
      <w:tr>
        <w:tc>
          <w:tcPr>
            <w:tcW w:type="dxa" w:w="5040"/>
          </w:tcPr>
          <w:p>
            <w:r>
              <w:rPr>
                <w:sz w:val="16"/>
              </w:rPr>
              <w:t>High</w:t>
            </w:r>
          </w:p>
        </w:tc>
        <w:tc>
          <w:tcPr>
            <w:tcW w:type="dxa" w:w="5040"/>
          </w:tcPr>
          <w:p>
            <w:r>
              <w:rPr>
                <w:sz w:val="16"/>
              </w:rPr>
              <w:t>A material launch or operational risk requiring correction or explicit acceptance.</w:t>
            </w:r>
          </w:p>
        </w:tc>
      </w:tr>
      <w:tr>
        <w:tc>
          <w:tcPr>
            <w:tcW w:type="dxa" w:w="5040"/>
          </w:tcPr>
          <w:p>
            <w:r>
              <w:rPr>
                <w:sz w:val="16"/>
              </w:rPr>
              <w:t>Medium</w:t>
            </w:r>
          </w:p>
        </w:tc>
        <w:tc>
          <w:tcPr>
            <w:tcW w:type="dxa" w:w="5040"/>
          </w:tcPr>
          <w:p>
            <w:r>
              <w:rPr>
                <w:sz w:val="16"/>
              </w:rPr>
              <w:t>A meaningful weakness that should be scheduled and owned.</w:t>
            </w:r>
          </w:p>
        </w:tc>
      </w:tr>
      <w:tr>
        <w:tc>
          <w:tcPr>
            <w:tcW w:type="dxa" w:w="5040"/>
          </w:tcPr>
          <w:p>
            <w:r>
              <w:rPr>
                <w:sz w:val="16"/>
              </w:rPr>
              <w:t>Low</w:t>
            </w:r>
          </w:p>
        </w:tc>
        <w:tc>
          <w:tcPr>
            <w:tcW w:type="dxa" w:w="5040"/>
          </w:tcPr>
          <w:p>
            <w:r>
              <w:rPr>
                <w:sz w:val="16"/>
              </w:rPr>
              <w:t>An improvement with limited immediate launch impact.</w:t>
            </w:r>
          </w:p>
        </w:tc>
      </w:tr>
    </w:tbl>
    <w:p>
      <w:pPr>
        <w:pStyle w:val="Heading1"/>
      </w:pPr>
      <w:r>
        <w:t>Reviewer attestation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040"/>
        <w:gridCol w:w="5040"/>
      </w:tblGrid>
      <w:tr>
        <w:tc>
          <w:tcPr>
            <w:tcW w:type="dxa" w:w="5040"/>
            <w:shd w:fill="0B1220"/>
          </w:tcPr>
          <w:p>
            <w:r>
              <w:rPr>
                <w:b/>
                <w:color w:val="FFFFFF"/>
                <w:sz w:val="16"/>
              </w:rPr>
              <w:t>Field</w:t>
            </w:r>
          </w:p>
        </w:tc>
        <w:tc>
          <w:tcPr>
            <w:tcW w:type="dxa" w:w="5040"/>
            <w:shd w:fill="0B1220"/>
          </w:tcPr>
          <w:p>
            <w:r>
              <w:rPr>
                <w:b/>
                <w:color w:val="FFFFFF"/>
                <w:sz w:val="16"/>
              </w:rPr>
              <w:t>Entry</w:t>
            </w:r>
          </w:p>
        </w:tc>
      </w:tr>
      <w:tr>
        <w:tc>
          <w:tcPr>
            <w:tcW w:type="dxa" w:w="5040"/>
          </w:tcPr>
          <w:p>
            <w:r>
              <w:rPr>
                <w:sz w:val="16"/>
              </w:rPr>
              <w:t>Reviewer name / organization</w:t>
            </w:r>
          </w:p>
        </w:tc>
        <w:tc>
          <w:tcPr>
            <w:tcW w:type="dxa" w:w="5040"/>
          </w:tcPr>
          <w:p>
            <w:r>
              <w:rPr>
                <w:sz w:val="16"/>
              </w:rPr>
            </w:r>
          </w:p>
        </w:tc>
      </w:tr>
      <w:tr>
        <w:tc>
          <w:tcPr>
            <w:tcW w:type="dxa" w:w="5040"/>
          </w:tcPr>
          <w:p>
            <w:r>
              <w:rPr>
                <w:sz w:val="16"/>
              </w:rPr>
              <w:t>Review date</w:t>
            </w:r>
          </w:p>
        </w:tc>
        <w:tc>
          <w:tcPr>
            <w:tcW w:type="dxa" w:w="5040"/>
          </w:tcPr>
          <w:p>
            <w:r>
              <w:rPr>
                <w:sz w:val="16"/>
              </w:rPr>
            </w:r>
          </w:p>
        </w:tc>
      </w:tr>
      <w:tr>
        <w:tc>
          <w:tcPr>
            <w:tcW w:type="dxa" w:w="5040"/>
          </w:tcPr>
          <w:p>
            <w:r>
              <w:rPr>
                <w:sz w:val="16"/>
              </w:rPr>
              <w:t>Scope/version/commit</w:t>
            </w:r>
          </w:p>
        </w:tc>
        <w:tc>
          <w:tcPr>
            <w:tcW w:type="dxa" w:w="5040"/>
          </w:tcPr>
          <w:p>
            <w:r>
              <w:rPr>
                <w:sz w:val="16"/>
              </w:rPr>
            </w:r>
          </w:p>
        </w:tc>
      </w:tr>
      <w:tr>
        <w:tc>
          <w:tcPr>
            <w:tcW w:type="dxa" w:w="5040"/>
          </w:tcPr>
          <w:p>
            <w:r>
              <w:rPr>
                <w:sz w:val="16"/>
              </w:rPr>
              <w:t>Evidence repository/location</w:t>
            </w:r>
          </w:p>
        </w:tc>
        <w:tc>
          <w:tcPr>
            <w:tcW w:type="dxa" w:w="5040"/>
          </w:tcPr>
          <w:p>
            <w:r>
              <w:rPr>
                <w:sz w:val="16"/>
              </w:rPr>
            </w:r>
          </w:p>
        </w:tc>
      </w:tr>
      <w:tr>
        <w:tc>
          <w:tcPr>
            <w:tcW w:type="dxa" w:w="5040"/>
          </w:tcPr>
          <w:p>
            <w:r>
              <w:rPr>
                <w:sz w:val="16"/>
              </w:rPr>
              <w:t>Signature or approval record</w:t>
            </w:r>
          </w:p>
        </w:tc>
        <w:tc>
          <w:tcPr>
            <w:tcW w:type="dxa" w:w="5040"/>
          </w:tcPr>
          <w:p>
            <w:r>
              <w:rPr>
                <w:sz w:val="16"/>
              </w:rPr>
            </w:r>
          </w:p>
        </w:tc>
      </w:tr>
    </w:tbl>
    <w:p>
      <w:pPr>
        <w:pStyle w:val="Heading1"/>
      </w:pPr>
      <w:r>
        <w:t>Client acknowledgment</w:t>
      </w:r>
    </w:p>
    <w:p>
      <w:r>
        <w:t>The client acknowledges the stated scope, exclusions, residual risks, and responsibilities. Acceptance confirms receipt of the report and does not convert the review into a warranty, certification, legal opinion, or penetration test.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60"/>
        <w:gridCol w:w="3360"/>
        <w:gridCol w:w="3360"/>
      </w:tblGrid>
      <w:tr>
        <w:tc>
          <w:tcPr>
            <w:tcW w:type="dxa" w:w="3360"/>
            <w:shd w:fill="0B1220"/>
          </w:tcPr>
          <w:p>
            <w:r>
              <w:rPr>
                <w:b/>
                <w:color w:val="FFFFFF"/>
                <w:sz w:val="16"/>
              </w:rPr>
              <w:t>Client representative</w:t>
            </w:r>
          </w:p>
        </w:tc>
        <w:tc>
          <w:tcPr>
            <w:tcW w:type="dxa" w:w="3360"/>
            <w:shd w:fill="0B1220"/>
          </w:tcPr>
          <w:p>
            <w:r>
              <w:rPr>
                <w:b/>
                <w:color w:val="FFFFFF"/>
                <w:sz w:val="16"/>
              </w:rPr>
              <w:t>Date</w:t>
            </w:r>
          </w:p>
        </w:tc>
        <w:tc>
          <w:tcPr>
            <w:tcW w:type="dxa" w:w="3360"/>
            <w:shd w:fill="0B1220"/>
          </w:tcPr>
          <w:p>
            <w:r>
              <w:rPr>
                <w:b/>
                <w:color w:val="FFFFFF"/>
                <w:sz w:val="16"/>
              </w:rPr>
              <w:t>Decision</w:t>
            </w:r>
          </w:p>
        </w:tc>
      </w:tr>
      <w:tr>
        <w:tc>
          <w:tcPr>
            <w:tcW w:type="dxa" w:w="3360"/>
          </w:tcPr>
          <w:p>
            <w:r>
              <w:rPr>
                <w:sz w:val="16"/>
              </w:rPr>
            </w:r>
          </w:p>
        </w:tc>
        <w:tc>
          <w:tcPr>
            <w:tcW w:type="dxa" w:w="3360"/>
          </w:tcPr>
          <w:p>
            <w:r>
              <w:rPr>
                <w:sz w:val="16"/>
              </w:rPr>
            </w:r>
          </w:p>
        </w:tc>
        <w:tc>
          <w:tcPr>
            <w:tcW w:type="dxa" w:w="3360"/>
          </w:tcPr>
          <w:p>
            <w:r>
              <w:rPr>
                <w:sz w:val="16"/>
              </w:rPr>
              <w:t>Accept / Conditional accept / Reject</w:t>
            </w:r>
          </w:p>
        </w:tc>
      </w:tr>
    </w:tbl>
    <w:sectPr w:rsidR="00FC693F" w:rsidRPr="0006063C" w:rsidSect="00034616">
      <w:footerReference w:type="default" r:id="rId9"/>
      <w:pgSz w:w="12240" w:h="15840"/>
      <w:pgMar w:top="936" w:right="1080" w:bottom="936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rPr>
        <w:color w:val="64748B"/>
        <w:sz w:val="16"/>
      </w:rPr>
      <w:t xml:space="preserve">SHIPSAFE AI  |  </w:t>
      <w:fldChar w:fldCharType="begin"/>
      <w:instrText xml:space="preserve"> PAGE </w:instrText>
      <w:fldChar w:fldCharType="end"/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00" w:line="259" w:lineRule="auto"/>
    </w:pPr>
    <w:rPr>
      <w:rFonts w:ascii="Aptos" w:hAnsi="Aptos"/>
      <w:color w:val="334155"/>
      <w:sz w:val="19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180" w:after="100"/>
      <w:outlineLvl w:val="0"/>
    </w:pPr>
    <w:rPr>
      <w:rFonts w:asciiTheme="majorHAnsi" w:eastAsiaTheme="majorEastAsia" w:hAnsiTheme="majorHAnsi" w:cstheme="majorBidi" w:ascii="Aptos Display" w:hAnsi="Aptos Display"/>
      <w:b/>
      <w:bCs/>
      <w:color w:val="0B1220"/>
      <w:sz w:val="3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180" w:after="100"/>
      <w:outlineLvl w:val="1"/>
    </w:pPr>
    <w:rPr>
      <w:rFonts w:asciiTheme="majorHAnsi" w:eastAsiaTheme="majorEastAsia" w:hAnsiTheme="majorHAnsi" w:cstheme="majorBidi" w:ascii="Aptos Display" w:hAnsi="Aptos Display"/>
      <w:b/>
      <w:bCs/>
      <w:color w:val="0E7490"/>
      <w:sz w:val="28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80" w:after="100"/>
      <w:outlineLvl w:val="2"/>
    </w:pPr>
    <w:rPr>
      <w:rFonts w:asciiTheme="majorHAnsi" w:eastAsiaTheme="majorEastAsia" w:hAnsiTheme="majorHAnsi" w:cstheme="majorBidi" w:ascii="Aptos" w:hAnsi="Aptos"/>
      <w:b/>
      <w:bCs/>
      <w:color w:val="334155"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100" w:line="240" w:lineRule="auto" w:before="0"/>
      <w:contextualSpacing/>
    </w:pPr>
    <w:rPr>
      <w:rFonts w:asciiTheme="majorHAnsi" w:eastAsiaTheme="majorEastAsia" w:hAnsiTheme="majorHAnsi" w:cstheme="majorBidi" w:ascii="Aptos Display" w:hAnsi="Aptos Display"/>
      <w:b/>
      <w:color w:val="0B1220"/>
      <w:spacing w:val="5"/>
      <w:kern w:val="28"/>
      <w:sz w:val="56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  <w:spacing w:before="180" w:after="100"/>
    </w:pPr>
    <w:rPr>
      <w:rFonts w:asciiTheme="majorHAnsi" w:eastAsiaTheme="majorEastAsia" w:hAnsiTheme="majorHAnsi" w:cstheme="majorBidi" w:ascii="Aptos" w:hAnsi="Aptos"/>
      <w:b w:val="0"/>
      <w:i/>
      <w:iCs/>
      <w:color w:val="0E7490"/>
      <w:spacing w:val="15"/>
      <w:sz w:val="28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