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Carport am Doppel- oder Reihenendhaus: Grenzbebauung sauber planen · Arbeitsblatt mit Checkliste</w:t>
      </w:r>
    </w:p>
    <w:p>
      <w:r>
        <w:t>Für die praktische Planung: Ein Carport an der Grundstücksgrenze eines Doppel- oder Reihenendhauses benötigt mehr als eine passende Skizze. Entscheidend sind die vorhandene Bebauung, die konkreten Grenzmaße und die örtlichen Vorgaben. Der folgende Leitfaden strukturiert die Vorprüfung, unterscheidet die typischen Grenzsituationen und zeigt, welche Unterlagen vor der Detailplanung zusammengetragen werden sollten. Die genannten Regelwerte ersetzen nicht die Prüfung durch die zuständige Behörde.</w:t>
      </w:r>
    </w:p>
    <w:p>
      <w:pPr>
        <w:pStyle w:val="Heading1"/>
      </w:pPr>
      <w:r>
        <w:t>Die zwei typischen Grenzsituationen unterscheiden</w:t>
      </w:r>
    </w:p>
    <w:p>
      <w:r>
        <w:t>Beim Doppelhaus wird häufig eine gemeinsame Wand mit dem Nachbarhaus geteilt. Eine zusätzliche Überdachung kann deshalb sowohl baurechtliche Abstandsfragen aufwerfen als auch statische und bauliche Auswirkungen auf die vorhandene Wand haben. Beim Reihenendhaus liegt die Grenze dagegen unmittelbar neben dem Gebäude, ohne dass eine gemeinsame Wand bestehen muss. Hier rückt vor allem die zulässige Gesamtlänge an dieser Grundstücksgrenze in den Mittelpunkt. In beiden Fällen sollte die Planung anhand des aktuellen Lageplans beginnen und nicht allein anhand des gewünschten Carportmodells.</w:t>
      </w:r>
    </w:p>
    <w:p>
      <w:pPr>
        <w:pStyle w:val="Heading1"/>
      </w:pPr>
      <w:r>
        <w:t>Grenzlänge und Wandhöhe gemeinsam prüfen</w:t>
      </w:r>
    </w:p>
    <w:p>
      <w:r>
        <w:t>Für Garagen und überdachte Stellplätze nennt Art. 6 BayBO nach den Angaben des verlinkten Beitrags zentrale Orientierungswerte: eine mittlere Wandhöhe bis zu drei Metern sowie eine Gesamtlänge je Grundstücksgrenze von bis zu neun Metern. Die Länge umfasst die vollständige geplante Grenzbebauung einschließlich Pfostenpositionen und Dachüberstand. Bei der Wandhöhe ist die zur Nachbargrenze gerichtete Seite maßgeblich. Die Dachneigung kann die Anrechnung beeinflussen; eine Neigung von 45 oder 70 Grad markiert dabei unterschiedliche Übergänge. Wer diese Werte anwendet, sollte die tatsächliche Ausführung berücksichtigen und nicht von einer pauschalen Aussage ausgehen.</w:t>
      </w:r>
    </w:p>
    <w:p>
      <w:pPr>
        <w:pStyle w:val="Heading1"/>
      </w:pPr>
      <w:r>
        <w:t>Zusammenrechnung und vorhandene Bauten nicht übersehen</w:t>
      </w:r>
    </w:p>
    <w:p>
      <w:r>
        <w:t>Bereits vorhandene Garagen, überdachte Stellplätze oder andere privilegierte Grenzbauten können bei der Prüfung der Grenzabschnitte eine Rolle spielen. Das gilt auch für eine zusätzliche Grenzbebauung an einer anderen Seite desselben Grundstücks. Die Grenzwerte sind daher nicht isoliert für den geplanten Carport zu betrachten. Besonders wichtig ist außerdem, welche Nebengebäude im Lageplan eingetragen sind und ob eine bestehende Grenzgarage auf dem Nachbargrundstück die Abstandsflächenprüfung beeinflusst. Eine schriftliche Zustimmung des Nachbarn kann bei Grenzabweichungen oder einer Befreiung von Abstandsflächen erforderlich sein, ersetzt aber weder die behördliche Genehmigung noch die Prüfung des Bebauungsplans.</w:t>
      </w:r>
    </w:p>
    <w:p>
      <w:pPr>
        <w:pStyle w:val="Heading1"/>
      </w:pPr>
      <w:r>
        <w:t>Notwendige Unterlagen für eine belastbare Vorprüfung</w:t>
      </w:r>
    </w:p>
    <w:p>
      <w:r>
        <w:t>Für die erste Planungsphase werden ein Lageplan mit Grundstücksgrenzen, Haus, Zufahrt und Nebengebäuden, die Maße des geplanten Carports sowie Angaben zu Dachform, Neigung und Überstand benötigt. Hilfreich sind außerdem Fotos der Grenzseite und Hinweise zu bestehenden Bauten im Nachbarbereich. Bei einem Wandanschluss oder einer Solarnutzung sollten zudem Befestigung, Statik und Regenwasserführung geklärt werden. Vor einer Bestellung empfiehlt sich ein kurzer Abgleich mit der zuständigen Bauaufsicht, insbesondere wenn der Carport im Vorgarten, an einer Baulinie, in einem denkmalgeschützten Ensemble oder im Einflussbereich weiterer örtlicher Festsetzungen liegt.</w:t>
      </w:r>
    </w:p>
    <w:p>
      <w:pPr>
        <w:pStyle w:val="Heading1"/>
      </w:pPr>
      <w:r>
        <w:t>Häufige Fehler früh vermeiden</w:t>
      </w:r>
    </w:p>
    <w:p>
      <w:r>
        <w:t>Zu den typischen Fehlern gehört das Missachten der Pfostenposition, das Übersehen vorhandener Grenzbauten und die Messung der Wandhöhe an der falschen Seite. Auch eine knapp über 45 Grad liegende Dachneigung kann die Berechnung verändern und sollte nicht als flache Ausführung behandelt werden. Ein grenznaher Carport darf nicht allein deshalb geplant werden, weil die sichtbare Länge auf einer Skizze passt. Sinnvoll ist die Reihenfolge: Bestand aufnehmen, Grenzwerte nach Art. 6 BayBO prüfen, örtliche Vorgaben klären und erst danach Befestigung, Dach und Ausstattung im Detail festlegen.</w:t>
      </w:r>
    </w:p>
    <w:p>
      <w:pPr>
        <w:pStyle w:val="Heading1"/>
      </w:pPr>
      <w:r>
        <w:t>Weitere Dokumente zum Thema</w:t>
      </w:r>
    </w:p>
    <w:p>
      <w:hyperlink r:id="rId9">
        <w:r>
          <w:rPr>
            <w:color w:val="087E75"/>
          </w:rPr>
          <w:t>Carport am Doppel- oder Reihenendhaus: Grenzbebauung sauber planen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039carport/-/blob/d40864528e09171c0673c9770449fc435f29eee0/_posts/2026-10-24-carport-grenzbebauung-doppelhaus-reihenendhaus.md" TargetMode="External"/><Relationship Id="rId10" Type="http://schemas.openxmlformats.org/officeDocument/2006/relationships/hyperlink" Target="https://holzundhaus.github.io/039carport/dateien/minimax-c65f2a8e055b0904aaaab81c/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