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Sattel-, Walm- und Pultdach: Holzverbrauch und Raumnutzung im Vergleich · Arbeitsblatt mit Checkliste</w:t>
      </w:r>
    </w:p>
    <w:p>
      <w:r>
        <w:t>Für die praktische Planung: Eine Dachgaube verändert die Geometrie und damit die Statik des bestehenden Tragwerks. Sie schafft zusätzlichen Wohnraum unter dem Dach und verbessert die Belichtung, doch Planung und Anschluss erfordern sorgfältige Abstimmung mit dem Dachstuhl. Dieser Ratgeber erklärt die gängigen Gaubentypen, deren Einsatzmöglichkeiten bei verschiedenen Dachformen und die wesentlichen Punkte bei der Planung.</w:t>
      </w:r>
    </w:p>
    <w:p>
      <w:pPr>
        <w:pStyle w:val="Heading1"/>
      </w:pPr>
      <w:r>
        <w:t>Warum eine Gaube den Dachstuhl beeinflusst</w:t>
      </w:r>
    </w:p>
    <w:p>
      <w:r>
        <w:t>Eine Gaube ist mehr als ein architektonisches Element. Sie durchbricht die vorhandene Dachfläche, verändert die Lastabtragung und muss statisch in das bestehende Tragwerk eingebunden werden. Der Anschluss an die Sparrenfelder erfordert Zusatzhölzer und kann die Aussteifung des gesamten Dachstuhls beeinflussen. Wer diesen Eingriff frühzeitig mitdenkt, vermeidet nachträgliche Verstärkungen und unnötige Kosten.</w:t>
      </w:r>
    </w:p>
    <w:p>
      <w:pPr>
        <w:pStyle w:val="Heading1"/>
      </w:pPr>
      <w:r>
        <w:t>Typische Gaubenformen und ihre Merkmale</w:t>
      </w:r>
    </w:p>
    <w:p>
      <w:r>
        <w:t>Die Schleppgaube zählt zu den verbreitetsten Formen. Sie schließt flacher an die Dachfläche an und eignet sich besonders für geringere Neigungen. Die Fledermausgaube folgt mit ihrem geschwungenen First der Dachkontur und fügt sich harmonisch in das Gesamtbild ein. Die Giebelgaube richtet einen senkrechten Giebel auf, der als vollwertige Wandfläche genutzt werden kann. Jede Form hat spezifische Anforderungen an den Anschluss und beeinflusst den verbleibenden Dachraum unterschiedlich.</w:t>
      </w:r>
    </w:p>
    <w:p>
      <w:pPr>
        <w:pStyle w:val="Heading1"/>
      </w:pPr>
      <w:r>
        <w:t>Gaubenanschluss beim Satteldach</w:t>
      </w:r>
    </w:p>
    <w:p>
      <w:r>
        <w:t>Beim Satteldach sind die Sparrenfelder klar gegliedert, was den Gaubeneinbau erleichtert. Die Gaube wird typischerweise zwischen zwei Sparrenpaaren eingebunden, wobei die Pfetten zur Lastabtragung verstärkt oder umgelenkt werden. Die Firstlinie des Daches bleibt meist erhalten, sodass keine aufwendigen Grat- oder Schiftsparren nötig sind. Dieser Anschluss gilt als vergleichsweise unkompliziert und bietet eine hohe Flexibilität bei der Positionierung.</w:t>
      </w:r>
    </w:p>
    <w:p>
      <w:pPr>
        <w:pStyle w:val="Heading1"/>
      </w:pPr>
      <w:r>
        <w:t>Besonderheiten beim Walmdach</w:t>
      </w:r>
    </w:p>
    <w:p>
      <w:r>
        <w:t>Das Walmdach stellt höhere Anforderungen an die Planung, weil die geneigten Giebel den verfügbaren Platz einschränken und die Gratsparren als tragende Elemente direkt an der Gaube vorbeiführen. Der Anschluss liegt häufig im Bereich dieser Gratline, was zusätzliche Holzquerschnitte und sorgfältig geplante Verbindungen erfordert. Eine Gaube im Walmdach beeinflusst zudem die Gleichmäßigkeit des Dachabschlusses stärker als beim Satteldach.</w:t>
      </w:r>
    </w:p>
    <w:p>
      <w:pPr>
        <w:pStyle w:val="Heading1"/>
      </w:pPr>
      <w:r>
        <w:t>Was vor der Planung geklärt werden sollte</w:t>
      </w:r>
    </w:p>
    <w:p>
      <w:r>
        <w:t>Bevor eine Gaube in die Entscheidung einbezogen wird, sollten mehrere Faktoren geprüft werden. Die Dachneigung bestimmt, welche Gaubenform technisch sinnvoll ist. Die Länge der Sparren und die Pfettenanordnung legen fest, wo ein Anschluss möglich ist. Für die Baugenehmigung spielen regionale Vorgaben zur Gestaltung eine Rolle, besonders bei denkmalgeschützten Gebäuden. Auch die Wärmedämmung muss an der Gaube sorgfältig ausgeführt werden, um Wärmebrücken zu vermeiden. Eine Abstimmung mit dem zuständigen Fachbetrieb hilft, die Machbarkeit und den Aufwand realistisch einzuschätzen.</w:t>
      </w:r>
    </w:p>
    <w:p>
      <w:pPr>
        <w:pStyle w:val="Heading1"/>
      </w:pPr>
      <w:r>
        <w:t>Weitere Dokumente zum Thema</w:t>
      </w:r>
    </w:p>
    <w:p>
      <w:hyperlink r:id="rId9">
        <w:r>
          <w:rPr>
            <w:color w:val="087E75"/>
          </w:rPr>
          <w:t>Sattel-, Walm- und Pultdach: Holzverbrauch und Raumnutzung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wordpress.com/2026/10/16/dachformen-holzverbrauch-raumnutzung-vergleich/" TargetMode="External"/><Relationship Id="rId10" Type="http://schemas.openxmlformats.org/officeDocument/2006/relationships/hyperlink" Target="https://holzundhaus.github.io/1azimmermannhamburg/dateien/minimax-e33975fa737b72f649b0905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