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Dachgeschosswohnung vermieten in Köln: Recht, Baulichkeit, Steuern · Arbeitsblatt mit Checkliste</w:t>
      </w:r>
    </w:p>
    <w:p>
      <w:r>
        <w:t>Für die praktische Planung: Die Vermietung einer Dachgeschosswohnung in Köln ist mehr als eine Frage des Mietpreises. Entscheidend sind auch die rechtmäßige Herstellung des Wohnraums, eine belastbare Wohnflächenberechnung, die Vorgaben der Wohnungseigentümergemeinschaft und die steuerliche Zuordnung der Einnahmen und Aufwendungen. Dieser Ratgeber beantwortet die Frage, welche Unterlagen und Prüfungen vor dem Vermietungsstart sinnvoll sind und wo besondere Risiken entstehen können.</w:t>
      </w:r>
    </w:p>
    <w:p>
      <w:pPr>
        <w:pStyle w:val="Heading1"/>
      </w:pPr>
      <w:r>
        <w:t>Wie werden Einnahmen und Aufwendungen steuerlich eingeordnet?</w:t>
      </w:r>
    </w:p>
    <w:p>
      <w:r>
        <w:t>Bei der Vermietung greifen grundsätzlich die Regeln der Einkünfte aus Vermietung und Verpachtung. Als Werbungskosten können unter anderem Schuldzinsen für die Immobilienfinanzierung, Verwaltungskosten, Instandhaltungs- und Modernisierungskosten sowie die Abschreibung des Gebäudeanteils berücksichtigt werden. Wichtig ist die belastbare Abgrenzung zwischen Erhaltungsaufwand und Herstellungskosten. Die steuerliche Behandlung hängt vom Einzelfall ab, insbesondere von der Finanzierung und der bisherigen Nutzung. Eine qualifizierte Steuerberatung sollte deshalb einbezogen werden. Für die praktische Planung helfen außerdem eine realistische Nebenkostenkalkulation und eine angemessene Instandhaltungsrücklage, insbesondere für Dach, Gauben und Anschlüsse.</w:t>
      </w:r>
    </w:p>
    <w:p>
      <w:pPr>
        <w:pStyle w:val="Heading1"/>
      </w:pPr>
      <w:r>
        <w:t>Weitere Dokumente zum Thema</w:t>
      </w:r>
    </w:p>
    <w:p>
      <w:hyperlink r:id="rId9">
        <w:r>
          <w:rPr>
            <w:color w:val="087E75"/>
          </w:rPr>
          <w:t>Dachgeschosswohnung vermieten in Köln: Recht, Baulichkeit, Steuern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koeln/dachgeschosswohnung-vermieten-koeln-recht-baulich-steuern/" TargetMode="External"/><Relationship Id="rId10" Type="http://schemas.openxmlformats.org/officeDocument/2006/relationships/hyperlink" Target="https://holzundhaus.github.io/dachgeschossausbaukoeln/dateien/minimax-55630831d833f34d3214c2e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