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72BD0A8F" ns2:textId="77777777" w:rsidR="00AA429E" w:rsidRDefault="00A20683">
      <w:pPr>
        <w:rPr>
          <w:rtl/>
        </w:rPr>
      </w:pPr>
      <w:r>
        <w:rPr>
          <w:vanish/>
        </w:rPr>
        <w:t>{{PG:1}}</w:t>
      </w:r>
      <w:r>
        <w:rPr>
          <w:rFonts w:ascii="Naskh" w:hAnsi="Naskh" w:hint="cs"/>
          <w:color w:val="000000"/>
          <w:sz w:val="32"/>
          <w:szCs w:val="32"/>
          <w:shd w:val="clear" w:color="auto" w:fill="FFFFFF"/>
          <w:rtl/>
        </w:rPr>
        <w:t xml:space="preserve"> مثال :</w:t>
      </w:r>
      <w:r w:rsidR="000B6255">
        <w:rPr>
          <w:rFonts w:ascii="Naskh" w:hAnsi="Naskh"/>
          <w:color w:val="000000"/>
          <w:sz w:val="32"/>
          <w:szCs w:val="32"/>
          <w:shd w:val="clear" w:color="auto" w:fill="FFFFFF"/>
          <w:rtl/>
        </w:rPr>
        <w:t>إذا أمر الزوج زوجته بالسفور أو مخالطة الرجال، فلا يجوز لها أن تطيعه؛ لأن السفور والاختلاط معصية</w:t>
      </w:r>
      <w:r w:rsidR="000B6255">
        <w:rPr>
          <w:rFonts w:ascii="Naskh" w:hAnsi="Naskh"/>
          <w:color w:val="000000"/>
          <w:sz w:val="32"/>
          <w:szCs w:val="32"/>
          <w:shd w:val="clear" w:color="auto" w:fill="FFFFFF"/>
        </w:rPr>
        <w:t>.</w:t>
      </w:r>
      <w:r w:rsidR="000B6255" w:rsidRPr="000B6255">
        <w:rPr>
          <w:rFonts w:ascii="Naskh" w:hAnsi="Naskh"/>
          <w:color w:val="000000"/>
          <w:sz w:val="32"/>
          <w:szCs w:val="32"/>
          <w:shd w:val="clear" w:color="auto" w:fill="FFFFFF"/>
          <w:rtl/>
        </w:rPr>
        <w:t xml:space="preserve"> </w:t>
      </w:r>
      <w:r w:rsidR="000B6255">
        <w:rPr>
          <w:rFonts w:ascii="Naskh" w:hAnsi="Naskh"/>
          <w:color w:val="000000"/>
          <w:sz w:val="32"/>
          <w:szCs w:val="32"/>
          <w:shd w:val="clear" w:color="auto" w:fill="FFFFFF"/>
          <w:rtl/>
        </w:rPr>
        <w:t>الطاعة ليست مطلقة في كل ما يأمر به السلطان أو ولي الأمر، ويشمل ذلك الوالد والزوج وكل مسؤول تحت يده من تجب عليه طاعته - بل إن هذه الطاعة مقيدة بالأمر والطاعة بالمعروف. وأما في المعصية وما يخالف شرع الله فلا طاعة، لأنه </w:t>
      </w:r>
      <w:r w:rsidR="000B6255">
        <w:rPr>
          <w:rFonts w:ascii="Naskh" w:hAnsi="Naskh"/>
          <w:color w:val="950000"/>
          <w:sz w:val="32"/>
          <w:szCs w:val="32"/>
          <w:shd w:val="clear" w:color="auto" w:fill="FFFFFF"/>
        </w:rPr>
        <w:t>"</w:t>
      </w:r>
      <w:r w:rsidR="000B6255">
        <w:rPr>
          <w:rFonts w:ascii="Naskh" w:hAnsi="Naskh"/>
          <w:color w:val="950000"/>
          <w:sz w:val="32"/>
          <w:szCs w:val="32"/>
          <w:shd w:val="clear" w:color="auto" w:fill="FFFFFF"/>
          <w:rtl/>
        </w:rPr>
        <w:t>لا طاعة للمخلوق في معصية الخالق</w:t>
      </w:r>
      <w:r w:rsidR="000B6255">
        <w:rPr>
          <w:rFonts w:ascii="Naskh" w:hAnsi="Naskh"/>
          <w:color w:val="950000"/>
          <w:sz w:val="32"/>
          <w:szCs w:val="32"/>
          <w:shd w:val="clear" w:color="auto" w:fill="FFFFFF"/>
        </w:rPr>
        <w:t>"</w:t>
      </w:r>
      <w:r w:rsidR="000B6255">
        <w:rPr>
          <w:rFonts w:ascii="Naskh" w:hAnsi="Naskh"/>
          <w:color w:val="000000"/>
          <w:sz w:val="32"/>
          <w:szCs w:val="32"/>
          <w:shd w:val="clear" w:color="auto" w:fill="FFFFFF"/>
        </w:rPr>
        <w:t> </w:t>
      </w:r>
      <w:r w:rsidR="000B6255">
        <w:rPr>
          <w:rFonts w:ascii="Naskh" w:hAnsi="Naskh"/>
          <w:color w:val="000000"/>
          <w:sz w:val="32"/>
          <w:szCs w:val="32"/>
          <w:shd w:val="clear" w:color="auto" w:fill="FFFFFF"/>
          <w:rtl/>
        </w:rPr>
        <w:t>لا يجوز بل يحرم أن يطيع أحد أحدا في معصية الله سبحانه وتعالى. بل إنما تكون الطاعة في المعروف من المباح والمندوب والمستحب والواجب. وأما المعصية فلا يجوز الطاعة فيها،</w:t>
      </w:r>
      <w:r w:rsidR="0002754E">
        <w:rPr>
          <w:rStyle w:val="a4"/>
          <w:rFonts w:ascii="Naskh" w:hAnsi="Naskh"/>
          <w:color w:val="000000"/>
          <w:sz w:val="32"/>
          <w:szCs w:val="32"/>
          <w:shd w:val="clear" w:color="auto" w:fill="FFFFFF"/>
          <w:rtl/>
        </w:rPr>
        <w:footnoteReference w:id="1"/>
      </w:r>
    </w:p>
    <w:p ns2:paraId="594B0330" ns2:textId="77777777" w:rsidR="00A20683" w:rsidRDefault="00A20683" w:rsidP="00A20683">
      <w:pPr>
        <w:pStyle w:val="a5"/>
        <w:shd w:val="clear" w:color="auto" w:fill="FFFFFF"/>
        <w:spacing w:before="0" w:beforeAutospacing="0" w:after="0" w:afterAutospacing="0" w:line="630" w:lineRule="atLeast"/>
        <w:rPr>
          <w:rFonts w:ascii="Naskh" w:hAnsi="Naskh"/>
          <w:color w:val="000000"/>
          <w:sz w:val="32"/>
          <w:szCs w:val="32"/>
        </w:rPr>
      </w:pPr>
      <w:r>
        <w:rPr>
          <w:vanish/>
        </w:rPr>
        <w:t>{{PG:1}}</w:t>
      </w:r>
      <w:r>
        <w:rPr>
          <w:rFonts w:ascii="Naskh" w:hAnsi="Naskh"/>
          <w:color w:val="006D98"/>
          <w:sz w:val="32"/>
          <w:szCs w:val="32"/>
          <w:rtl/>
        </w:rPr>
        <w:t>ال مسلم</w:t>
      </w:r>
      <w:r>
        <w:rPr>
          <w:rFonts w:ascii="Naskh" w:hAnsi="Naskh"/>
          <w:color w:val="006D98"/>
          <w:sz w:val="32"/>
          <w:szCs w:val="32"/>
        </w:rPr>
        <w:t>:</w:t>
      </w:r>
      <w:r>
        <w:rPr>
          <w:rFonts w:ascii="Naskh" w:hAnsi="Naskh"/>
          <w:color w:val="000000"/>
          <w:sz w:val="32"/>
          <w:szCs w:val="32"/>
        </w:rPr>
        <w:t> </w:t>
      </w:r>
      <w:r>
        <w:rPr>
          <w:rFonts w:ascii="Naskh" w:hAnsi="Naskh"/>
          <w:color w:val="000000"/>
          <w:sz w:val="32"/>
          <w:szCs w:val="32"/>
          <w:rtl/>
        </w:rPr>
        <w:t>حدثنا قتيبة بن سعيد، حدثنا ليث، عن عبيد الله، عن نافع، عن ابن عمر، عن النبي - صلى الله عليه وسلم</w:t>
      </w:r>
      <w:r>
        <w:rPr>
          <w:rFonts w:ascii="Naskh" w:hAnsi="Naskh"/>
          <w:color w:val="000000"/>
          <w:sz w:val="32"/>
          <w:szCs w:val="32"/>
        </w:rPr>
        <w:t xml:space="preserve"> -</w:t>
      </w:r>
      <w:r>
        <w:rPr>
          <w:rFonts w:ascii="Naskh" w:hAnsi="Naskh"/>
          <w:color w:val="006D98"/>
          <w:sz w:val="32"/>
          <w:szCs w:val="32"/>
        </w:rPr>
        <w:t> </w:t>
      </w:r>
      <w:r>
        <w:rPr>
          <w:rFonts w:ascii="Naskh" w:hAnsi="Naskh"/>
          <w:color w:val="006D98"/>
          <w:sz w:val="32"/>
          <w:szCs w:val="32"/>
          <w:rtl/>
        </w:rPr>
        <w:t>أنه قال</w:t>
      </w:r>
      <w:r>
        <w:rPr>
          <w:rFonts w:ascii="Naskh" w:hAnsi="Naskh"/>
          <w:color w:val="006D98"/>
          <w:sz w:val="32"/>
          <w:szCs w:val="32"/>
        </w:rPr>
        <w:t>:</w:t>
      </w:r>
      <w:r>
        <w:rPr>
          <w:rFonts w:ascii="Naskh" w:hAnsi="Naskh"/>
          <w:color w:val="000000"/>
          <w:sz w:val="32"/>
          <w:szCs w:val="32"/>
        </w:rPr>
        <w:t> </w:t>
      </w:r>
      <w:r>
        <w:rPr>
          <w:rFonts w:ascii="Naskh" w:hAnsi="Naskh"/>
          <w:color w:val="950000"/>
          <w:sz w:val="32"/>
          <w:szCs w:val="32"/>
        </w:rPr>
        <w:t>"</w:t>
      </w:r>
      <w:r>
        <w:rPr>
          <w:rFonts w:ascii="Naskh" w:hAnsi="Naskh"/>
          <w:color w:val="950000"/>
          <w:sz w:val="32"/>
          <w:szCs w:val="32"/>
          <w:rtl/>
        </w:rPr>
        <w:t>على المرء المسلم السمع والطاعة فيما أحب وكره. إلا أن يؤمر بمعصية فإن أمر بمعصية فلا سمع ولا طاعة</w:t>
      </w:r>
      <w:r>
        <w:rPr>
          <w:rFonts w:ascii="Naskh" w:hAnsi="Naskh"/>
          <w:color w:val="950000"/>
          <w:sz w:val="32"/>
          <w:szCs w:val="32"/>
        </w:rPr>
        <w:t>"</w:t>
      </w:r>
      <w:r>
        <w:rPr>
          <w:rFonts w:ascii="Naskh" w:hAnsi="Naskh"/>
          <w:color w:val="000000"/>
          <w:sz w:val="32"/>
          <w:szCs w:val="32"/>
        </w:rPr>
        <w:t>.</w:t>
      </w:r>
    </w:p>
    <w:p ns2:paraId="2DC6305D" ns2:textId="77777777" w:rsidR="00A20683" w:rsidRDefault="00A20683" w:rsidP="00A20683">
      <w:pPr>
        <w:pStyle w:val="a5"/>
        <w:shd w:val="clear" w:color="auto" w:fill="FFFFFF"/>
        <w:spacing w:before="0" w:beforeAutospacing="0" w:after="150" w:afterAutospacing="0" w:line="630" w:lineRule="atLeast"/>
        <w:rPr>
          <w:rFonts w:ascii="Naskh" w:hAnsi="Naskh"/>
          <w:color w:val="000000"/>
          <w:sz w:val="32"/>
          <w:szCs w:val="32"/>
        </w:rPr>
      </w:pPr>
      <w:r>
        <w:rPr>
          <w:vanish/>
        </w:rPr>
        <w:t>{{PG:1}}</w:t>
      </w:r>
      <w:r>
        <w:rPr>
          <w:rFonts w:ascii="Naskh" w:hAnsi="Naskh"/>
          <w:color w:val="008000"/>
          <w:sz w:val="32"/>
          <w:szCs w:val="32"/>
        </w:rPr>
        <w:t>(</w:t>
      </w:r>
      <w:r>
        <w:rPr>
          <w:rFonts w:ascii="Naskh" w:hAnsi="Naskh"/>
          <w:color w:val="008000"/>
          <w:sz w:val="32"/>
          <w:szCs w:val="32"/>
          <w:rtl/>
        </w:rPr>
        <w:t>الصحيح ٣/١٤٦٩ ح ١٨٣٩- ك الأمارة، ب وجوب طاعة الأمراء في غير معصية</w:t>
      </w:r>
      <w:r>
        <w:rPr>
          <w:rFonts w:ascii="Naskh" w:hAnsi="Naskh"/>
          <w:color w:val="008000"/>
          <w:sz w:val="32"/>
          <w:szCs w:val="32"/>
        </w:rPr>
        <w:t>)</w:t>
      </w:r>
      <w:r>
        <w:rPr>
          <w:rFonts w:ascii="Naskh" w:hAnsi="Naskh"/>
          <w:color w:val="000000"/>
          <w:sz w:val="32"/>
          <w:szCs w:val="32"/>
        </w:rPr>
        <w:t> .</w:t>
      </w:r>
    </w:p>
    <w:p ns2:paraId="273A3727" ns2:textId="77777777" w:rsidR="00932F98" w:rsidRPr="00932F98" w:rsidRDefault="00932F98" w:rsidP="00932F98">
      <w:r>
        <w:rPr>
          <w:vanish/>
        </w:rPr>
        <w:t>{{PG:1}}</w:t>
      </w:r>
      <w:r w:rsidRPr="00932F98">
        <w:t> </w:t>
      </w:r>
      <w:r w:rsidRPr="00932F98">
        <w:rPr>
          <w:rtl/>
        </w:rPr>
        <w:t>قاعدة ضرورية لاستقامة الحياة وحسن الخلق، وهي قاعدة ذات شقين لا بد منهما جميعا</w:t>
      </w:r>
      <w:r w:rsidRPr="00932F98">
        <w:t>:</w:t>
      </w:r>
    </w:p>
    <w:p ns2:paraId="7F62A510" ns2:textId="77777777" w:rsidR="00932F98" w:rsidRPr="00932F98" w:rsidRDefault="00932F98" w:rsidP="00932F98">
      <w:r>
        <w:rPr>
          <w:vanish/>
        </w:rPr>
        <w:t>{{PG:1}}</w:t>
      </w:r>
      <w:r w:rsidRPr="00932F98">
        <w:rPr>
          <w:rtl/>
        </w:rPr>
        <w:t>الأول</w:t>
      </w:r>
      <w:r w:rsidRPr="00932F98">
        <w:t>: </w:t>
      </w:r>
      <w:r w:rsidRPr="00932F98">
        <w:rPr>
          <w:rtl/>
        </w:rPr>
        <w:t>السمع والطاعة في طاعة الله، بغض النظر عن الحب والكراهية الشخصيين</w:t>
      </w:r>
      <w:r w:rsidRPr="00932F98">
        <w:t>.</w:t>
      </w:r>
    </w:p>
    <w:p ns2:paraId="0663451C" ns2:textId="77777777" w:rsidR="00932F98" w:rsidRPr="00932F98" w:rsidRDefault="00932F98" w:rsidP="00932F98">
      <w:r>
        <w:rPr>
          <w:vanish/>
        </w:rPr>
        <w:t>{{PG:1}}</w:t>
      </w:r>
      <w:r w:rsidRPr="00932F98">
        <w:rPr>
          <w:rtl/>
        </w:rPr>
        <w:t>الثاني</w:t>
      </w:r>
      <w:r w:rsidRPr="00932F98">
        <w:t>: </w:t>
      </w:r>
      <w:r w:rsidRPr="00932F98">
        <w:rPr>
          <w:rtl/>
        </w:rPr>
        <w:t>لا سمع ولا طاعة لمخلوق في معصية الخالق</w:t>
      </w:r>
      <w:r w:rsidRPr="00932F98">
        <w:t>.</w:t>
      </w:r>
    </w:p>
    <w:p ns2:paraId="295F0509" ns2:textId="77777777" w:rsidR="00932F98" w:rsidRPr="00932F98" w:rsidRDefault="00932F98" w:rsidP="00932F98">
      <w:r>
        <w:rPr>
          <w:vanish/>
        </w:rPr>
        <w:t>{{PG:1}}</w:t>
      </w:r>
      <w:r w:rsidRPr="00932F98">
        <w:rPr>
          <w:rtl/>
        </w:rPr>
        <w:t>ولتتصور شأن هذين المعنيين لك أن تتصور كم أردى الناس والمجتمع وضع العصيان في موضع الطاعة فيما بينهم، وكم أرداهم أيضا طاعة المخلوقين في معصية الخالق</w:t>
      </w:r>
      <w:r w:rsidRPr="00932F98">
        <w:t>!!</w:t>
      </w:r>
    </w:p>
    <w:p ns2:paraId="3D50F725" ns2:textId="77777777" w:rsidR="00A20683" w:rsidRDefault="00932F98" w:rsidP="00932F98">
      <w:pPr>
        <w:rPr>
          <w:rtl/>
        </w:rPr>
      </w:pPr>
      <w:r>
        <w:rPr>
          <w:vanish/>
        </w:rPr>
        <w:t>{{PG:1}}</w:t>
      </w:r>
      <w:r w:rsidRPr="00932F98">
        <w:rPr>
          <w:rtl/>
        </w:rPr>
        <w:lastRenderedPageBreak/>
        <w:t>إن شأن هذا المنطلق الأخلاقي الشرعي يتجلى في كون الإنسان لا يخلو عن أن يكون آمرا أو مأمورا. بل الأغلب أن يكون آمرا ومأمورا في الوقت نفسه، وهو في كلا الحالتين وفي جميع أحواله مضطر إلى تطبيق هذه القاعدة والالتزام بها للسلامة والنجاة والسعادة في الدنيا والآخرة</w:t>
      </w:r>
      <w:r w:rsidRPr="00932F98">
        <w:t>!.</w:t>
      </w:r>
      <w:r>
        <w:rPr>
          <w:rStyle w:val="a4"/>
        </w:rPr>
        <w:footnoteReference w:id="2"/>
      </w:r>
      <w:r w:rsidR="00E0516B">
        <w:rPr>
          <w:rFonts w:hint="cs"/>
          <w:rtl/>
        </w:rPr>
        <w:t xml:space="preserve"> </w:t>
      </w:r>
    </w:p>
    <w:p ns2:paraId="66262E37" ns2:textId="77777777" w:rsidR="00E0516B" w:rsidRPr="00932F98" w:rsidRDefault="00E0516B" w:rsidP="00932F98">
      <w:pPr>
        <w:rPr>
          <w:rtl/>
        </w:rPr>
      </w:pPr>
      <w:r>
        <w:rPr>
          <w:vanish/>
        </w:rPr>
        <w:t>{{PG:2}}</w:t>
      </w:r>
    </w:p>
    <w:sectPr w:rsidR="00E0516B" w:rsidRPr="00932F98" w:rsidSect="00856A9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52BE1" w14:textId="77777777" w:rsidR="009B5A88" w:rsidRDefault="009B5A88" w:rsidP="0002754E">
      <w:pPr>
        <w:spacing w:after="0" w:line="240" w:lineRule="auto"/>
      </w:pPr>
      <w:r>
        <w:separator/>
      </w:r>
    </w:p>
  </w:endnote>
  <w:endnote w:type="continuationSeparator" w:id="0">
    <w:p w14:paraId="7F15184D" w14:textId="77777777" w:rsidR="009B5A88" w:rsidRDefault="009B5A88" w:rsidP="00027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askh">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9FD11" w14:textId="77777777" w:rsidR="009B5A88" w:rsidRDefault="009B5A88" w:rsidP="0002754E">
      <w:pPr>
        <w:spacing w:after="0" w:line="240" w:lineRule="auto"/>
      </w:pPr>
      <w:r>
        <w:separator/>
      </w:r>
    </w:p>
  </w:footnote>
  <w:footnote w:type="continuationSeparator" w:id="0">
    <w:p w14:paraId="1A4E1C1D" w14:textId="77777777" w:rsidR="009B5A88" w:rsidRDefault="009B5A88" w:rsidP="0002754E">
      <w:pPr>
        <w:spacing w:after="0" w:line="240" w:lineRule="auto"/>
      </w:pPr>
      <w:r>
        <w:continuationSeparator/>
      </w:r>
    </w:p>
  </w:footnote>
  <w:footnote w:id="1">
    <w:p w14:paraId="4B818ACB" w14:textId="77777777" w:rsidR="0002754E" w:rsidRDefault="0002754E" w:rsidP="00A20683">
      <w:pPr>
        <w:pStyle w:val="a3"/>
      </w:pPr>
      <w:r>
        <w:rPr>
          <w:rStyle w:val="a4"/>
        </w:rPr>
        <w:footnoteRef/>
      </w:r>
      <w:r>
        <w:rPr>
          <w:rtl/>
        </w:rPr>
        <w:t xml:space="preserve"> </w:t>
      </w:r>
      <w:r w:rsidRPr="0002754E">
        <w:rPr>
          <w:rtl/>
        </w:rPr>
        <w:t>الكتاب: مُوْسُوعَة القَواعِد الفِقْهِيَّة</w:t>
      </w:r>
      <w:r w:rsidR="00A20683">
        <w:rPr>
          <w:rFonts w:hint="cs"/>
          <w:rtl/>
        </w:rPr>
        <w:t>(ج8ص177،178)</w:t>
      </w:r>
      <w:r w:rsidRPr="0002754E">
        <w:br/>
      </w:r>
      <w:r w:rsidRPr="0002754E">
        <w:rPr>
          <w:rtl/>
        </w:rPr>
        <w:t>المؤلف: محمد صدقي بن أحمد بن محمد آل بورنو أبو الحارث الغزي</w:t>
      </w:r>
      <w:r w:rsidRPr="0002754E">
        <w:br/>
      </w:r>
      <w:r w:rsidRPr="0002754E">
        <w:rPr>
          <w:rtl/>
        </w:rPr>
        <w:t>الناشر: مؤسسة الرسالة، بيروت - لبنان</w:t>
      </w:r>
      <w:r w:rsidRPr="0002754E">
        <w:br/>
      </w:r>
      <w:r w:rsidRPr="0002754E">
        <w:rPr>
          <w:rtl/>
        </w:rPr>
        <w:t>الطبعة: الأولى، ١٤٢٤ هـ - ٢٠٠٣ م</w:t>
      </w:r>
    </w:p>
  </w:footnote>
  <w:footnote w:id="2">
    <w:p w14:paraId="43B6717A" w14:textId="77777777" w:rsidR="00932F98" w:rsidRDefault="00932F98" w:rsidP="00932F98">
      <w:pPr>
        <w:pStyle w:val="a3"/>
      </w:pPr>
      <w:r>
        <w:rPr>
          <w:rStyle w:val="a4"/>
        </w:rPr>
        <w:footnoteRef/>
      </w:r>
      <w:r>
        <w:rPr>
          <w:rtl/>
        </w:rPr>
        <w:t xml:space="preserve"> </w:t>
      </w:r>
      <w:r w:rsidRPr="00932F98">
        <w:rPr>
          <w:rtl/>
        </w:rPr>
        <w:t>الكتاب: الأخلاق الفاضلة قواعد ومنطلقات لاكتسابها</w:t>
      </w:r>
      <w:r>
        <w:rPr>
          <w:rFonts w:hint="cs"/>
          <w:rtl/>
        </w:rPr>
        <w:t xml:space="preserve"> (ص58)</w:t>
      </w:r>
      <w:r w:rsidRPr="00932F98">
        <w:br/>
      </w:r>
      <w:r w:rsidRPr="00932F98">
        <w:rPr>
          <w:rtl/>
        </w:rPr>
        <w:t>المؤلف: عبد الله بن ضيف الله الرحيلي</w:t>
      </w:r>
      <w:r w:rsidRPr="00932F98">
        <w:br/>
      </w:r>
      <w:r w:rsidRPr="00932F98">
        <w:rPr>
          <w:rtl/>
        </w:rPr>
        <w:t>الناشر: مطبعة سفير</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4D3"/>
    <w:rsid w:val="0002754E"/>
    <w:rsid w:val="000B6255"/>
    <w:rsid w:val="00161A5A"/>
    <w:rsid w:val="003B77A4"/>
    <w:rsid w:val="005D0757"/>
    <w:rsid w:val="005D4A13"/>
    <w:rsid w:val="007E24D3"/>
    <w:rsid w:val="00856A9E"/>
    <w:rsid w:val="00932F98"/>
    <w:rsid w:val="009B5A88"/>
    <w:rsid w:val="00A20683"/>
    <w:rsid w:val="00AA429E"/>
    <w:rsid w:val="00E0516B"/>
    <w:rsid w:val="00E14362"/>
    <w:rsid w:val="00F343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A5CC4C"/>
  <w15:chartTrackingRefBased/>
  <w15:docId w15:val="{8E20AF71-F9A6-45CD-BCA2-08A77B51E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Theme="minorHAnsi" w:hAnsi="Simplified Arabic" w:cs="Simplified Arabic"/>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liases w:val="عنوان ريسي"/>
    <w:basedOn w:val="a"/>
    <w:next w:val="a"/>
    <w:link w:val="1Char"/>
    <w:uiPriority w:val="9"/>
    <w:qFormat/>
    <w:rsid w:val="00E14362"/>
    <w:pPr>
      <w:keepNext/>
      <w:keepLines/>
      <w:spacing w:before="240" w:after="0"/>
      <w:outlineLvl w:val="0"/>
    </w:pPr>
    <w:rPr>
      <w:rFonts w:eastAsia="Simplified Arabic"/>
      <w:b/>
      <w:sz w:val="32"/>
      <w:szCs w:val="32"/>
    </w:rPr>
  </w:style>
  <w:style w:type="paragraph" w:styleId="2">
    <w:name w:val="heading 2"/>
    <w:basedOn w:val="a"/>
    <w:next w:val="a"/>
    <w:link w:val="2Char"/>
    <w:uiPriority w:val="3"/>
    <w:qFormat/>
    <w:rsid w:val="005D0757"/>
    <w:pPr>
      <w:keepNext/>
      <w:spacing w:before="240" w:after="60" w:line="240" w:lineRule="auto"/>
      <w:outlineLvl w:val="1"/>
    </w:pPr>
    <w:rPr>
      <w:rFonts w:asciiTheme="majorHAnsi" w:eastAsiaTheme="majorEastAsia" w:hAnsiTheme="majorHAnsi"/>
      <w:b/>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يسي Char"/>
    <w:basedOn w:val="a0"/>
    <w:link w:val="1"/>
    <w:uiPriority w:val="9"/>
    <w:rsid w:val="00E14362"/>
    <w:rPr>
      <w:rFonts w:eastAsia="Simplified Arabic"/>
      <w:b/>
      <w:sz w:val="32"/>
      <w:szCs w:val="32"/>
    </w:rPr>
  </w:style>
  <w:style w:type="character" w:customStyle="1" w:styleId="2Char">
    <w:name w:val="عنوان 2 Char"/>
    <w:basedOn w:val="a0"/>
    <w:link w:val="2"/>
    <w:uiPriority w:val="3"/>
    <w:rsid w:val="005D0757"/>
    <w:rPr>
      <w:rFonts w:asciiTheme="majorHAnsi" w:eastAsiaTheme="majorEastAsia" w:hAnsiTheme="majorHAnsi"/>
      <w:b/>
      <w:bCs/>
      <w:i/>
    </w:rPr>
  </w:style>
  <w:style w:type="paragraph" w:styleId="a3">
    <w:name w:val="footnote text"/>
    <w:basedOn w:val="a"/>
    <w:link w:val="Char"/>
    <w:uiPriority w:val="99"/>
    <w:semiHidden/>
    <w:unhideWhenUsed/>
    <w:rsid w:val="0002754E"/>
    <w:pPr>
      <w:spacing w:after="0" w:line="240" w:lineRule="auto"/>
    </w:pPr>
    <w:rPr>
      <w:sz w:val="20"/>
      <w:szCs w:val="20"/>
    </w:rPr>
  </w:style>
  <w:style w:type="character" w:customStyle="1" w:styleId="Char">
    <w:name w:val="نص حاشية سفلية Char"/>
    <w:basedOn w:val="a0"/>
    <w:link w:val="a3"/>
    <w:uiPriority w:val="99"/>
    <w:semiHidden/>
    <w:rsid w:val="0002754E"/>
    <w:rPr>
      <w:sz w:val="20"/>
      <w:szCs w:val="20"/>
    </w:rPr>
  </w:style>
  <w:style w:type="character" w:styleId="a4">
    <w:name w:val="footnote reference"/>
    <w:basedOn w:val="a0"/>
    <w:uiPriority w:val="99"/>
    <w:semiHidden/>
    <w:unhideWhenUsed/>
    <w:rsid w:val="0002754E"/>
    <w:rPr>
      <w:vertAlign w:val="superscript"/>
    </w:rPr>
  </w:style>
  <w:style w:type="paragraph" w:styleId="a5">
    <w:name w:val="Normal (Web)"/>
    <w:basedOn w:val="a"/>
    <w:uiPriority w:val="99"/>
    <w:semiHidden/>
    <w:unhideWhenUsed/>
    <w:rsid w:val="00A20683"/>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Body Text"/>
    <w:basedOn w:val="a"/>
    <w:link w:val="Char0"/>
    <w:uiPriority w:val="99"/>
    <w:unhideWhenUsed/>
    <w:rsid w:val="00932F98"/>
    <w:pPr>
      <w:spacing w:after="120"/>
    </w:pPr>
  </w:style>
  <w:style w:type="character" w:customStyle="1" w:styleId="Char0">
    <w:name w:val="نص أساسي Char"/>
    <w:basedOn w:val="a0"/>
    <w:link w:val="a6"/>
    <w:uiPriority w:val="99"/>
    <w:rsid w:val="00932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540443">
      <w:bodyDiv w:val="1"/>
      <w:marLeft w:val="0"/>
      <w:marRight w:val="0"/>
      <w:marTop w:val="0"/>
      <w:marBottom w:val="0"/>
      <w:divBdr>
        <w:top w:val="none" w:sz="0" w:space="0" w:color="auto"/>
        <w:left w:val="none" w:sz="0" w:space="0" w:color="auto"/>
        <w:bottom w:val="none" w:sz="0" w:space="0" w:color="auto"/>
        <w:right w:val="none" w:sz="0" w:space="0" w:color="auto"/>
      </w:divBdr>
    </w:div>
    <w:div w:id="1675836053">
      <w:bodyDiv w:val="1"/>
      <w:marLeft w:val="0"/>
      <w:marRight w:val="0"/>
      <w:marTop w:val="0"/>
      <w:marBottom w:val="0"/>
      <w:divBdr>
        <w:top w:val="none" w:sz="0" w:space="0" w:color="auto"/>
        <w:left w:val="none" w:sz="0" w:space="0" w:color="auto"/>
        <w:bottom w:val="none" w:sz="0" w:space="0" w:color="auto"/>
        <w:right w:val="none" w:sz="0" w:space="0" w:color="auto"/>
      </w:divBdr>
    </w:div>
    <w:div w:id="183221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264</Words>
  <Characters>1152</Characters>
  <Application>Microsoft Office Word</Application>
  <DocSecurity>0</DocSecurity>
  <Lines>21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Homam AboAhmad</dc:creator>
  <cp:keywords/>
  <dc:description/>
  <cp:lastModifiedBy>Homam AboAhmad</cp:lastModifiedBy>
  <cp:revision>2</cp:revision>
  <dcterms:created xsi:type="dcterms:W3CDTF">2024-01-04T16:32:00Z</dcterms:created>
  <dcterms:modified xsi:type="dcterms:W3CDTF">2026-01-07T12:09:00Z</dcterms:modified>
</cp:coreProperties>
</file>